
<file path=[Content_Types].xml><?xml version="1.0" encoding="utf-8"?>
<Types xmlns="http://schemas.openxmlformats.org/package/2006/content-types">
  <Default Extension="xml" ContentType="application/xml"/>
  <Default Extension="wmf" ContentType="image/x-w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5" Type="http://schemas.openxmlformats.org/officeDocument/2006/relationships/officeDocument" Target="word/document.xml"/><Relationship Id="rId1" Type="http://schemas.openxmlformats.org/package/2006/relationships/metadata/thumbnail" Target="docProps/thumbnail.wmf"/><Relationship Id="rId3" Type="http://schemas.openxmlformats.org/package/2006/relationships/metadata/core-properties" Target="docProps/core.xml"/><Relationship Id="rId2"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spacing w:line="500" w:lineRule="atLeast"/>
        <w:jc w:val="center"/>
        <w:textAlignment w:val="bottom"/>
        <w:rPr>
          <w:rFonts w:ascii="宋体" w:hAnsi="宋体" w:cs="宋体"/>
          <w:b/>
          <w:bCs/>
          <w:color w:val="auto"/>
          <w:spacing w:val="120"/>
          <w:sz w:val="72"/>
          <w:szCs w:val="72"/>
          <w:highlight w:val="none"/>
        </w:rPr>
      </w:pPr>
      <w:bookmarkStart w:id="194" w:name="_GoBack"/>
      <w:bookmarkEnd w:id="194"/>
    </w:p>
    <w:p>
      <w:pPr>
        <w:autoSpaceDE w:val="0"/>
        <w:autoSpaceDN w:val="0"/>
        <w:spacing w:line="500" w:lineRule="atLeast"/>
        <w:jc w:val="distribute"/>
        <w:textAlignment w:val="bottom"/>
        <w:rPr>
          <w:rFonts w:ascii="宋体" w:hAnsi="宋体" w:cs="宋体"/>
          <w:bCs/>
          <w:color w:val="auto"/>
          <w:sz w:val="84"/>
          <w:szCs w:val="84"/>
          <w:highlight w:val="none"/>
        </w:rPr>
      </w:pPr>
      <w:r>
        <w:rPr>
          <w:rFonts w:hint="eastAsia" w:ascii="宋体" w:hAnsi="宋体" w:cs="宋体"/>
          <w:b/>
          <w:bCs/>
          <w:color w:val="auto"/>
          <w:spacing w:val="120"/>
          <w:sz w:val="84"/>
          <w:szCs w:val="84"/>
          <w:highlight w:val="none"/>
        </w:rPr>
        <w:t>温州市国有企业</w:t>
      </w:r>
    </w:p>
    <w:p>
      <w:pPr>
        <w:spacing w:line="400" w:lineRule="atLeast"/>
        <w:jc w:val="center"/>
        <w:rPr>
          <w:rFonts w:ascii="宋体" w:hAnsi="宋体" w:cs="宋体"/>
          <w:b/>
          <w:color w:val="auto"/>
          <w:sz w:val="52"/>
          <w:highlight w:val="none"/>
        </w:rPr>
      </w:pPr>
    </w:p>
    <w:p>
      <w:pPr>
        <w:spacing w:line="400" w:lineRule="atLeast"/>
        <w:jc w:val="center"/>
        <w:rPr>
          <w:rFonts w:ascii="宋体" w:hAnsi="宋体" w:cs="宋体"/>
          <w:b/>
          <w:color w:val="auto"/>
          <w:sz w:val="52"/>
          <w:highlight w:val="none"/>
        </w:rPr>
      </w:pPr>
    </w:p>
    <w:p>
      <w:pPr>
        <w:autoSpaceDE w:val="0"/>
        <w:autoSpaceDN w:val="0"/>
        <w:spacing w:line="500" w:lineRule="atLeast"/>
        <w:jc w:val="center"/>
        <w:textAlignment w:val="bottom"/>
        <w:rPr>
          <w:rFonts w:ascii="宋体" w:hAnsi="宋体" w:cs="宋体"/>
          <w:b/>
          <w:color w:val="auto"/>
          <w:sz w:val="72"/>
          <w:szCs w:val="72"/>
          <w:highlight w:val="none"/>
        </w:rPr>
      </w:pPr>
      <w:r>
        <w:rPr>
          <w:rFonts w:hint="eastAsia" w:ascii="宋体" w:hAnsi="宋体" w:cs="宋体"/>
          <w:b/>
          <w:bCs/>
          <w:color w:val="auto"/>
          <w:sz w:val="72"/>
          <w:szCs w:val="72"/>
          <w:highlight w:val="none"/>
        </w:rPr>
        <w:t>采 购 文 件</w:t>
      </w:r>
    </w:p>
    <w:p>
      <w:pPr>
        <w:spacing w:line="400" w:lineRule="atLeast"/>
        <w:jc w:val="center"/>
        <w:rPr>
          <w:rFonts w:ascii="宋体" w:hAnsi="宋体" w:cs="宋体"/>
          <w:b/>
          <w:color w:val="auto"/>
          <w:sz w:val="32"/>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tabs>
          <w:tab w:val="left" w:pos="1276"/>
          <w:tab w:val="left" w:pos="2977"/>
        </w:tabs>
        <w:spacing w:line="600" w:lineRule="exact"/>
        <w:ind w:left="2268" w:leftChars="1080" w:right="-1" w:firstLine="301" w:firstLineChars="100"/>
        <w:jc w:val="left"/>
        <w:rPr>
          <w:rFonts w:ascii="宋体" w:hAnsi="宋体" w:cs="宋体"/>
          <w:b/>
          <w:color w:val="auto"/>
          <w:sz w:val="30"/>
          <w:szCs w:val="30"/>
          <w:highlight w:val="none"/>
        </w:rPr>
      </w:pPr>
      <w:r>
        <w:rPr>
          <w:rFonts w:hint="eastAsia" w:ascii="宋体" w:hAnsi="宋体" w:cs="宋体"/>
          <w:b/>
          <w:color w:val="auto"/>
          <w:sz w:val="30"/>
          <w:szCs w:val="30"/>
          <w:highlight w:val="none"/>
        </w:rPr>
        <w:t>采购编号</w:t>
      </w:r>
      <w:r>
        <w:rPr>
          <w:rFonts w:hint="eastAsia" w:ascii="宋体" w:hAnsi="宋体" w:cs="宋体"/>
          <w:b/>
          <w:color w:val="auto"/>
          <w:sz w:val="30"/>
          <w:szCs w:val="30"/>
          <w:highlight w:val="none"/>
        </w:rPr>
        <w:tab/>
      </w:r>
      <w:r>
        <w:rPr>
          <w:rFonts w:hint="eastAsia" w:ascii="宋体" w:hAnsi="宋体" w:cs="宋体"/>
          <w:b/>
          <w:color w:val="auto"/>
          <w:sz w:val="30"/>
          <w:szCs w:val="30"/>
          <w:highlight w:val="none"/>
        </w:rPr>
        <w:t>：WGSS-XDJT-Z-2024016</w:t>
      </w:r>
    </w:p>
    <w:p>
      <w:pPr>
        <w:tabs>
          <w:tab w:val="left" w:pos="1276"/>
          <w:tab w:val="left" w:pos="2977"/>
        </w:tabs>
        <w:spacing w:line="600" w:lineRule="exact"/>
        <w:ind w:left="3993" w:leftChars="1223" w:right="-1" w:hanging="1425" w:hangingChars="473"/>
        <w:jc w:val="left"/>
        <w:rPr>
          <w:rFonts w:hint="eastAsia" w:ascii="宋体" w:hAnsi="宋体" w:eastAsia="宋体" w:cs="宋体"/>
          <w:b/>
          <w:color w:val="auto"/>
          <w:sz w:val="30"/>
          <w:szCs w:val="30"/>
          <w:highlight w:val="none"/>
          <w:lang w:eastAsia="zh-CN"/>
        </w:rPr>
      </w:pPr>
      <w:r>
        <w:rPr>
          <w:rFonts w:hint="eastAsia" w:ascii="宋体" w:hAnsi="宋体" w:cs="宋体"/>
          <w:b/>
          <w:color w:val="auto"/>
          <w:sz w:val="30"/>
          <w:szCs w:val="30"/>
          <w:highlight w:val="none"/>
        </w:rPr>
        <w:t>采购项目：</w:t>
      </w:r>
      <w:r>
        <w:rPr>
          <w:rFonts w:hint="eastAsia" w:ascii="宋体" w:hAnsi="宋体" w:cs="宋体"/>
          <w:b/>
          <w:color w:val="auto"/>
          <w:sz w:val="30"/>
          <w:szCs w:val="30"/>
          <w:highlight w:val="none"/>
          <w:lang w:eastAsia="zh-CN"/>
        </w:rPr>
        <w:t>教育部职业院校中台数据对接服务</w:t>
      </w:r>
    </w:p>
    <w:p>
      <w:pPr>
        <w:tabs>
          <w:tab w:val="left" w:pos="1276"/>
          <w:tab w:val="left" w:pos="4860"/>
        </w:tabs>
        <w:spacing w:line="600" w:lineRule="exact"/>
        <w:ind w:left="2268" w:leftChars="1080" w:right="-1" w:firstLine="301" w:firstLineChars="100"/>
        <w:jc w:val="left"/>
        <w:rPr>
          <w:rFonts w:ascii="宋体" w:hAnsi="宋体" w:cs="宋体"/>
          <w:b/>
          <w:color w:val="auto"/>
          <w:sz w:val="30"/>
          <w:szCs w:val="30"/>
          <w:highlight w:val="none"/>
        </w:rPr>
      </w:pPr>
      <w:r>
        <w:rPr>
          <w:rFonts w:hint="eastAsia" w:ascii="宋体" w:hAnsi="宋体" w:cs="宋体"/>
          <w:b/>
          <w:color w:val="auto"/>
          <w:sz w:val="30"/>
          <w:szCs w:val="30"/>
          <w:highlight w:val="none"/>
        </w:rPr>
        <w:t>采购方式：公 开 招 标</w:t>
      </w:r>
    </w:p>
    <w:p>
      <w:pPr>
        <w:jc w:val="left"/>
        <w:rPr>
          <w:rFonts w:ascii="宋体" w:hAnsi="宋体" w:cs="宋体"/>
          <w:b/>
          <w:bCs/>
          <w:color w:val="auto"/>
          <w:sz w:val="24"/>
          <w:highlight w:val="none"/>
        </w:rPr>
      </w:pPr>
    </w:p>
    <w:p>
      <w:pPr>
        <w:jc w:val="left"/>
        <w:rPr>
          <w:rFonts w:ascii="宋体" w:hAnsi="宋体" w:cs="宋体"/>
          <w:b/>
          <w:bCs/>
          <w:color w:val="auto"/>
          <w:sz w:val="24"/>
          <w:highlight w:val="none"/>
        </w:rPr>
      </w:pPr>
    </w:p>
    <w:p>
      <w:pPr>
        <w:jc w:val="left"/>
        <w:rPr>
          <w:rFonts w:ascii="宋体" w:hAnsi="宋体" w:cs="宋体"/>
          <w:b/>
          <w:bCs/>
          <w:color w:val="auto"/>
          <w:sz w:val="24"/>
          <w:highlight w:val="none"/>
        </w:rPr>
      </w:pPr>
    </w:p>
    <w:p>
      <w:pPr>
        <w:jc w:val="center"/>
        <w:rPr>
          <w:rFonts w:ascii="宋体" w:hAnsi="宋体" w:cs="宋体"/>
          <w:b/>
          <w:bCs/>
          <w:color w:val="auto"/>
          <w:sz w:val="24"/>
          <w:highlight w:val="none"/>
        </w:rPr>
      </w:pPr>
    </w:p>
    <w:p>
      <w:pPr>
        <w:jc w:val="center"/>
        <w:rPr>
          <w:rFonts w:ascii="宋体" w:hAnsi="宋体" w:cs="宋体"/>
          <w:b/>
          <w:bCs/>
          <w:color w:val="auto"/>
          <w:sz w:val="24"/>
          <w:highlight w:val="none"/>
        </w:rPr>
      </w:pPr>
    </w:p>
    <w:p>
      <w:pPr>
        <w:spacing w:line="600" w:lineRule="exact"/>
        <w:rPr>
          <w:rFonts w:ascii="宋体" w:hAnsi="宋体" w:cs="宋体"/>
          <w:b/>
          <w:color w:val="auto"/>
          <w:sz w:val="30"/>
          <w:szCs w:val="30"/>
          <w:highlight w:val="none"/>
        </w:rPr>
      </w:pPr>
    </w:p>
    <w:p>
      <w:pPr>
        <w:spacing w:line="600" w:lineRule="exact"/>
        <w:ind w:firstLine="1906" w:firstLineChars="633"/>
        <w:rPr>
          <w:rFonts w:ascii="宋体" w:hAnsi="宋体" w:cs="宋体"/>
          <w:b/>
          <w:color w:val="auto"/>
          <w:sz w:val="30"/>
          <w:szCs w:val="30"/>
          <w:highlight w:val="none"/>
        </w:rPr>
      </w:pPr>
      <w:r>
        <w:rPr>
          <w:rFonts w:hint="eastAsia" w:ascii="宋体" w:hAnsi="宋体" w:cs="宋体"/>
          <w:b/>
          <w:color w:val="auto"/>
          <w:sz w:val="30"/>
          <w:szCs w:val="30"/>
          <w:highlight w:val="none"/>
        </w:rPr>
        <w:t>采  购  人：浙江东方职业技术学院</w:t>
      </w:r>
    </w:p>
    <w:p>
      <w:pPr>
        <w:spacing w:line="600" w:lineRule="exact"/>
        <w:ind w:firstLine="1906" w:firstLineChars="500"/>
        <w:rPr>
          <w:rFonts w:ascii="宋体" w:hAnsi="宋体" w:cs="宋体"/>
          <w:b/>
          <w:color w:val="auto"/>
          <w:spacing w:val="12"/>
          <w:sz w:val="30"/>
          <w:szCs w:val="30"/>
          <w:highlight w:val="none"/>
        </w:rPr>
      </w:pPr>
      <w:r>
        <w:rPr>
          <w:rFonts w:hint="eastAsia" w:ascii="宋体" w:hAnsi="宋体" w:cs="宋体"/>
          <w:b/>
          <w:color w:val="auto"/>
          <w:spacing w:val="40"/>
          <w:sz w:val="30"/>
          <w:szCs w:val="30"/>
          <w:highlight w:val="none"/>
        </w:rPr>
        <w:t>采购代理</w:t>
      </w:r>
      <w:r>
        <w:rPr>
          <w:rFonts w:hint="eastAsia" w:ascii="宋体" w:hAnsi="宋体" w:cs="宋体"/>
          <w:b/>
          <w:color w:val="auto"/>
          <w:sz w:val="30"/>
          <w:szCs w:val="30"/>
          <w:highlight w:val="none"/>
        </w:rPr>
        <w:t>：</w:t>
      </w:r>
      <w:r>
        <w:rPr>
          <w:rFonts w:hint="eastAsia" w:ascii="宋体" w:hAnsi="宋体" w:cs="宋体"/>
          <w:b/>
          <w:color w:val="auto"/>
          <w:spacing w:val="12"/>
          <w:sz w:val="30"/>
          <w:szCs w:val="30"/>
          <w:highlight w:val="none"/>
        </w:rPr>
        <w:t>温州元信工程项目管理有限公司</w:t>
      </w:r>
    </w:p>
    <w:p>
      <w:pPr>
        <w:spacing w:line="600" w:lineRule="exact"/>
        <w:ind w:firstLine="1437" w:firstLineChars="377"/>
        <w:jc w:val="center"/>
        <w:rPr>
          <w:rFonts w:ascii="宋体" w:hAnsi="宋体" w:cs="宋体"/>
          <w:b/>
          <w:color w:val="auto"/>
          <w:spacing w:val="40"/>
          <w:sz w:val="30"/>
          <w:szCs w:val="30"/>
          <w:highlight w:val="none"/>
        </w:rPr>
      </w:pPr>
    </w:p>
    <w:p>
      <w:pPr>
        <w:spacing w:line="600" w:lineRule="exact"/>
        <w:jc w:val="center"/>
        <w:rPr>
          <w:rFonts w:ascii="宋体" w:hAnsi="宋体" w:cs="宋体"/>
          <w:b/>
          <w:color w:val="auto"/>
          <w:spacing w:val="40"/>
          <w:sz w:val="30"/>
          <w:szCs w:val="30"/>
          <w:highlight w:val="none"/>
        </w:rPr>
      </w:pPr>
      <w:r>
        <w:rPr>
          <w:rFonts w:hint="eastAsia" w:ascii="宋体" w:hAnsi="宋体" w:cs="宋体"/>
          <w:b/>
          <w:color w:val="auto"/>
          <w:spacing w:val="40"/>
          <w:sz w:val="30"/>
          <w:szCs w:val="30"/>
          <w:highlight w:val="none"/>
        </w:rPr>
        <w:t>二〇二四年四月</w:t>
      </w:r>
    </w:p>
    <w:p>
      <w:pPr>
        <w:spacing w:line="600" w:lineRule="exact"/>
        <w:jc w:val="center"/>
        <w:rPr>
          <w:rFonts w:ascii="宋体" w:hAnsi="宋体" w:cs="宋体"/>
          <w:b/>
          <w:bCs/>
          <w:color w:val="auto"/>
          <w:sz w:val="32"/>
          <w:szCs w:val="32"/>
          <w:highlight w:val="none"/>
        </w:rPr>
      </w:pPr>
      <w:r>
        <w:rPr>
          <w:rFonts w:hint="eastAsia" w:ascii="宋体" w:hAnsi="宋体" w:cs="宋体"/>
          <w:color w:val="auto"/>
          <w:spacing w:val="40"/>
          <w:sz w:val="30"/>
          <w:szCs w:val="30"/>
          <w:highlight w:val="none"/>
        </w:rPr>
        <w:br w:type="page"/>
      </w:r>
      <w:r>
        <w:rPr>
          <w:rFonts w:hint="eastAsia" w:ascii="宋体" w:hAnsi="宋体" w:cs="宋体"/>
          <w:b/>
          <w:bCs/>
          <w:color w:val="auto"/>
          <w:sz w:val="32"/>
          <w:szCs w:val="32"/>
          <w:highlight w:val="none"/>
        </w:rPr>
        <w:t>目    录</w:t>
      </w:r>
    </w:p>
    <w:p>
      <w:pPr>
        <w:pStyle w:val="27"/>
        <w:tabs>
          <w:tab w:val="right" w:leader="dot" w:pos="9638"/>
          <w:tab w:val="clear" w:pos="9628"/>
        </w:tabs>
        <w:rPr>
          <w:color w:val="auto"/>
          <w:highlight w:val="none"/>
        </w:rPr>
      </w:pPr>
      <w:r>
        <w:rPr>
          <w:rFonts w:hint="eastAsia" w:ascii="宋体" w:hAnsi="宋体" w:eastAsia="宋体" w:cs="宋体"/>
          <w:b/>
          <w:bCs w:val="0"/>
          <w:color w:val="auto"/>
          <w:highlight w:val="none"/>
        </w:rPr>
        <w:fldChar w:fldCharType="begin"/>
      </w:r>
      <w:r>
        <w:rPr>
          <w:rFonts w:hint="eastAsia" w:ascii="宋体" w:hAnsi="宋体" w:eastAsia="宋体" w:cs="宋体"/>
          <w:b/>
          <w:bCs w:val="0"/>
          <w:color w:val="auto"/>
          <w:highlight w:val="none"/>
        </w:rPr>
        <w:instrText xml:space="preserve"> TOC \o "1-3" \h \z \u </w:instrText>
      </w:r>
      <w:r>
        <w:rPr>
          <w:rFonts w:hint="eastAsia" w:ascii="宋体" w:hAnsi="宋体" w:eastAsia="宋体" w:cs="宋体"/>
          <w:b/>
          <w:bCs w:val="0"/>
          <w:color w:val="auto"/>
          <w:highlight w:val="none"/>
        </w:rPr>
        <w:fldChar w:fldCharType="separate"/>
      </w:r>
      <w:r>
        <w:rPr>
          <w:color w:val="auto"/>
          <w:highlight w:val="none"/>
        </w:rPr>
        <w:fldChar w:fldCharType="begin"/>
      </w:r>
      <w:r>
        <w:rPr>
          <w:color w:val="auto"/>
          <w:highlight w:val="none"/>
        </w:rPr>
        <w:instrText xml:space="preserve"> HYPERLINK \l "_Toc31357" </w:instrText>
      </w:r>
      <w:r>
        <w:rPr>
          <w:color w:val="auto"/>
          <w:highlight w:val="none"/>
        </w:rPr>
        <w:fldChar w:fldCharType="separate"/>
      </w:r>
      <w:r>
        <w:rPr>
          <w:rFonts w:hint="eastAsia" w:ascii="新宋体" w:hAnsi="新宋体" w:cs="新宋体"/>
          <w:color w:val="auto"/>
          <w:szCs w:val="30"/>
          <w:highlight w:val="none"/>
        </w:rPr>
        <w:t>温州市现代集团所属</w:t>
      </w:r>
      <w:r>
        <w:rPr>
          <w:rFonts w:hint="eastAsia" w:ascii="宋体" w:hAnsi="宋体" w:eastAsia="宋体" w:cs="宋体"/>
          <w:color w:val="auto"/>
          <w:szCs w:val="30"/>
          <w:highlight w:val="none"/>
        </w:rPr>
        <w:t>浙江东方职业技术学院关于</w:t>
      </w:r>
      <w:r>
        <w:rPr>
          <w:rFonts w:hint="eastAsia" w:ascii="宋体" w:hAnsi="宋体" w:eastAsia="宋体" w:cs="宋体"/>
          <w:color w:val="auto"/>
          <w:szCs w:val="30"/>
          <w:highlight w:val="none"/>
          <w:lang w:eastAsia="zh-CN"/>
        </w:rPr>
        <w:t>教育部职业院校中台数据对接服务项目</w:t>
      </w:r>
      <w:r>
        <w:rPr>
          <w:rFonts w:hint="eastAsia" w:ascii="宋体" w:hAnsi="宋体" w:eastAsia="宋体" w:cs="宋体"/>
          <w:color w:val="auto"/>
          <w:szCs w:val="30"/>
          <w:highlight w:val="none"/>
        </w:rPr>
        <w:t>(自主)的采购公告</w:t>
      </w:r>
      <w:r>
        <w:rPr>
          <w:color w:val="auto"/>
          <w:highlight w:val="none"/>
        </w:rPr>
        <w:tab/>
      </w:r>
      <w:r>
        <w:rPr>
          <w:color w:val="auto"/>
          <w:highlight w:val="none"/>
        </w:rPr>
        <w:fldChar w:fldCharType="begin"/>
      </w:r>
      <w:r>
        <w:rPr>
          <w:color w:val="auto"/>
          <w:highlight w:val="none"/>
        </w:rPr>
        <w:instrText xml:space="preserve"> PAGEREF _Toc31357 \h </w:instrText>
      </w:r>
      <w:r>
        <w:rPr>
          <w:color w:val="auto"/>
          <w:highlight w:val="none"/>
        </w:rPr>
        <w:fldChar w:fldCharType="separate"/>
      </w:r>
      <w:r>
        <w:rPr>
          <w:color w:val="auto"/>
          <w:highlight w:val="none"/>
        </w:rPr>
        <w:t>3</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"_Toc32285" </w:instrText>
      </w:r>
      <w:r>
        <w:rPr>
          <w:color w:val="auto"/>
          <w:highlight w:val="none"/>
        </w:rPr>
        <w:fldChar w:fldCharType="separate"/>
      </w:r>
      <w:r>
        <w:rPr>
          <w:rFonts w:hint="eastAsia" w:ascii="宋体" w:hAnsi="宋体" w:eastAsia="宋体" w:cs="宋体"/>
          <w:color w:val="auto"/>
          <w:szCs w:val="36"/>
          <w:highlight w:val="none"/>
        </w:rPr>
        <w:t>第一部分    投标人须知</w:t>
      </w:r>
      <w:r>
        <w:rPr>
          <w:color w:val="auto"/>
          <w:highlight w:val="none"/>
        </w:rPr>
        <w:tab/>
      </w:r>
      <w:r>
        <w:rPr>
          <w:color w:val="auto"/>
          <w:highlight w:val="none"/>
        </w:rPr>
        <w:fldChar w:fldCharType="begin"/>
      </w:r>
      <w:r>
        <w:rPr>
          <w:color w:val="auto"/>
          <w:highlight w:val="none"/>
        </w:rPr>
        <w:instrText xml:space="preserve"> PAGEREF _Toc32285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"_Toc4442" </w:instrText>
      </w:r>
      <w:r>
        <w:rPr>
          <w:color w:val="auto"/>
          <w:highlight w:val="none"/>
        </w:rPr>
        <w:fldChar w:fldCharType="separate"/>
      </w:r>
      <w:r>
        <w:rPr>
          <w:rFonts w:hint="eastAsia" w:ascii="宋体" w:hAnsi="宋体" w:eastAsia="宋体" w:cs="宋体"/>
          <w:color w:val="auto"/>
          <w:szCs w:val="26"/>
          <w:highlight w:val="none"/>
        </w:rPr>
        <w:t>一、 投标人须知前附表</w:t>
      </w:r>
      <w:r>
        <w:rPr>
          <w:color w:val="auto"/>
          <w:highlight w:val="none"/>
        </w:rPr>
        <w:tab/>
      </w:r>
      <w:r>
        <w:rPr>
          <w:color w:val="auto"/>
          <w:highlight w:val="none"/>
        </w:rPr>
        <w:fldChar w:fldCharType="begin"/>
      </w:r>
      <w:r>
        <w:rPr>
          <w:color w:val="auto"/>
          <w:highlight w:val="none"/>
        </w:rPr>
        <w:instrText xml:space="preserve"> PAGEREF _Toc4442 \h </w:instrText>
      </w:r>
      <w:r>
        <w:rPr>
          <w:color w:val="auto"/>
          <w:highlight w:val="none"/>
        </w:rPr>
        <w:fldChar w:fldCharType="separate"/>
      </w:r>
      <w:r>
        <w:rPr>
          <w:color w:val="auto"/>
          <w:highlight w:val="none"/>
        </w:rPr>
        <w:t>7</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"_Toc4603" </w:instrText>
      </w:r>
      <w:r>
        <w:rPr>
          <w:color w:val="auto"/>
          <w:highlight w:val="none"/>
        </w:rPr>
        <w:fldChar w:fldCharType="separate"/>
      </w:r>
      <w:r>
        <w:rPr>
          <w:rFonts w:hint="eastAsia" w:ascii="宋体" w:hAnsi="宋体" w:cs="宋体"/>
          <w:bCs w:val="0"/>
          <w:color w:val="auto"/>
          <w:szCs w:val="26"/>
          <w:highlight w:val="none"/>
        </w:rPr>
        <w:t xml:space="preserve">二、 </w:t>
      </w:r>
      <w:r>
        <w:rPr>
          <w:rFonts w:hint="eastAsia" w:ascii="宋体" w:hAnsi="宋体" w:cs="宋体"/>
          <w:color w:val="auto"/>
          <w:szCs w:val="26"/>
          <w:highlight w:val="none"/>
        </w:rPr>
        <w:t>说明</w:t>
      </w:r>
      <w:r>
        <w:rPr>
          <w:color w:val="auto"/>
          <w:highlight w:val="none"/>
        </w:rPr>
        <w:tab/>
      </w:r>
      <w:r>
        <w:rPr>
          <w:color w:val="auto"/>
          <w:highlight w:val="none"/>
        </w:rPr>
        <w:fldChar w:fldCharType="begin"/>
      </w:r>
      <w:r>
        <w:rPr>
          <w:color w:val="auto"/>
          <w:highlight w:val="none"/>
        </w:rPr>
        <w:instrText xml:space="preserve"> PAGEREF _Toc4603 \h </w:instrText>
      </w:r>
      <w:r>
        <w:rPr>
          <w:color w:val="auto"/>
          <w:highlight w:val="none"/>
        </w:rPr>
        <w:fldChar w:fldCharType="separate"/>
      </w:r>
      <w:r>
        <w:rPr>
          <w:color w:val="auto"/>
          <w:highlight w:val="none"/>
        </w:rPr>
        <w:t>8</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"_Toc25344" </w:instrText>
      </w:r>
      <w:r>
        <w:rPr>
          <w:color w:val="auto"/>
          <w:highlight w:val="none"/>
        </w:rPr>
        <w:fldChar w:fldCharType="separate"/>
      </w:r>
      <w:r>
        <w:rPr>
          <w:rFonts w:hint="eastAsia" w:ascii="宋体" w:hAnsi="宋体" w:eastAsia="宋体" w:cs="宋体"/>
          <w:color w:val="auto"/>
          <w:szCs w:val="26"/>
          <w:highlight w:val="none"/>
        </w:rPr>
        <w:t>三、 采购文件</w:t>
      </w:r>
      <w:r>
        <w:rPr>
          <w:color w:val="auto"/>
          <w:highlight w:val="none"/>
        </w:rPr>
        <w:tab/>
      </w:r>
      <w:r>
        <w:rPr>
          <w:color w:val="auto"/>
          <w:highlight w:val="none"/>
        </w:rPr>
        <w:fldChar w:fldCharType="begin"/>
      </w:r>
      <w:r>
        <w:rPr>
          <w:color w:val="auto"/>
          <w:highlight w:val="none"/>
        </w:rPr>
        <w:instrText xml:space="preserve"> PAGEREF _Toc25344 \h </w:instrText>
      </w:r>
      <w:r>
        <w:rPr>
          <w:color w:val="auto"/>
          <w:highlight w:val="none"/>
        </w:rPr>
        <w:fldChar w:fldCharType="separate"/>
      </w:r>
      <w:r>
        <w:rPr>
          <w:color w:val="auto"/>
          <w:highlight w:val="none"/>
        </w:rPr>
        <w:t>9</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"_Toc12646" </w:instrText>
      </w:r>
      <w:r>
        <w:rPr>
          <w:color w:val="auto"/>
          <w:highlight w:val="none"/>
        </w:rPr>
        <w:fldChar w:fldCharType="separate"/>
      </w:r>
      <w:r>
        <w:rPr>
          <w:rFonts w:hint="eastAsia" w:ascii="宋体" w:hAnsi="宋体" w:eastAsia="宋体" w:cs="宋体"/>
          <w:color w:val="auto"/>
          <w:szCs w:val="26"/>
          <w:highlight w:val="none"/>
        </w:rPr>
        <w:t>四、 投标文件的编制</w:t>
      </w:r>
      <w:r>
        <w:rPr>
          <w:color w:val="auto"/>
          <w:highlight w:val="none"/>
        </w:rPr>
        <w:tab/>
      </w:r>
      <w:r>
        <w:rPr>
          <w:color w:val="auto"/>
          <w:highlight w:val="none"/>
        </w:rPr>
        <w:fldChar w:fldCharType="begin"/>
      </w:r>
      <w:r>
        <w:rPr>
          <w:color w:val="auto"/>
          <w:highlight w:val="none"/>
        </w:rPr>
        <w:instrText xml:space="preserve"> PAGEREF _Toc12646 \h </w:instrText>
      </w:r>
      <w:r>
        <w:rPr>
          <w:color w:val="auto"/>
          <w:highlight w:val="none"/>
        </w:rPr>
        <w:fldChar w:fldCharType="separate"/>
      </w:r>
      <w:r>
        <w:rPr>
          <w:color w:val="auto"/>
          <w:highlight w:val="none"/>
        </w:rPr>
        <w:t>10</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"_Toc4932" </w:instrText>
      </w:r>
      <w:r>
        <w:rPr>
          <w:color w:val="auto"/>
          <w:highlight w:val="none"/>
        </w:rPr>
        <w:fldChar w:fldCharType="separate"/>
      </w:r>
      <w:r>
        <w:rPr>
          <w:rFonts w:hint="eastAsia" w:ascii="宋体" w:hAnsi="宋体" w:eastAsia="宋体" w:cs="宋体"/>
          <w:color w:val="auto"/>
          <w:szCs w:val="26"/>
          <w:highlight w:val="none"/>
        </w:rPr>
        <w:t>五、 投标文件的递交</w:t>
      </w:r>
      <w:r>
        <w:rPr>
          <w:color w:val="auto"/>
          <w:highlight w:val="none"/>
        </w:rPr>
        <w:tab/>
      </w:r>
      <w:r>
        <w:rPr>
          <w:color w:val="auto"/>
          <w:highlight w:val="none"/>
        </w:rPr>
        <w:fldChar w:fldCharType="begin"/>
      </w:r>
      <w:r>
        <w:rPr>
          <w:color w:val="auto"/>
          <w:highlight w:val="none"/>
        </w:rPr>
        <w:instrText xml:space="preserve"> PAGEREF _Toc4932 \h </w:instrText>
      </w:r>
      <w:r>
        <w:rPr>
          <w:color w:val="auto"/>
          <w:highlight w:val="none"/>
        </w:rPr>
        <w:fldChar w:fldCharType="separate"/>
      </w:r>
      <w:r>
        <w:rPr>
          <w:color w:val="auto"/>
          <w:highlight w:val="none"/>
        </w:rPr>
        <w:t>13</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"_Toc4653" </w:instrText>
      </w:r>
      <w:r>
        <w:rPr>
          <w:color w:val="auto"/>
          <w:highlight w:val="none"/>
        </w:rPr>
        <w:fldChar w:fldCharType="separate"/>
      </w:r>
      <w:r>
        <w:rPr>
          <w:rFonts w:hint="eastAsia" w:ascii="宋体" w:hAnsi="宋体" w:eastAsia="宋体" w:cs="宋体"/>
          <w:color w:val="auto"/>
          <w:szCs w:val="26"/>
          <w:highlight w:val="none"/>
        </w:rPr>
        <w:t>六、 开标和评标</w:t>
      </w:r>
      <w:r>
        <w:rPr>
          <w:color w:val="auto"/>
          <w:highlight w:val="none"/>
        </w:rPr>
        <w:tab/>
      </w:r>
      <w:r>
        <w:rPr>
          <w:color w:val="auto"/>
          <w:highlight w:val="none"/>
        </w:rPr>
        <w:fldChar w:fldCharType="begin"/>
      </w:r>
      <w:r>
        <w:rPr>
          <w:color w:val="auto"/>
          <w:highlight w:val="none"/>
        </w:rPr>
        <w:instrText xml:space="preserve"> PAGEREF _Toc4653 \h </w:instrText>
      </w:r>
      <w:r>
        <w:rPr>
          <w:color w:val="auto"/>
          <w:highlight w:val="none"/>
        </w:rPr>
        <w:fldChar w:fldCharType="separate"/>
      </w:r>
      <w:r>
        <w:rPr>
          <w:color w:val="auto"/>
          <w:highlight w:val="none"/>
        </w:rPr>
        <w:t>14</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"_Toc17627" </w:instrText>
      </w:r>
      <w:r>
        <w:rPr>
          <w:color w:val="auto"/>
          <w:highlight w:val="none"/>
        </w:rPr>
        <w:fldChar w:fldCharType="separate"/>
      </w:r>
      <w:r>
        <w:rPr>
          <w:rFonts w:hint="eastAsia" w:ascii="宋体" w:hAnsi="宋体" w:eastAsia="宋体" w:cs="宋体"/>
          <w:color w:val="auto"/>
          <w:szCs w:val="26"/>
          <w:highlight w:val="none"/>
        </w:rPr>
        <w:t>七、 授予合同</w:t>
      </w:r>
      <w:r>
        <w:rPr>
          <w:color w:val="auto"/>
          <w:highlight w:val="none"/>
        </w:rPr>
        <w:tab/>
      </w:r>
      <w:r>
        <w:rPr>
          <w:color w:val="auto"/>
          <w:highlight w:val="none"/>
        </w:rPr>
        <w:fldChar w:fldCharType="begin"/>
      </w:r>
      <w:r>
        <w:rPr>
          <w:color w:val="auto"/>
          <w:highlight w:val="none"/>
        </w:rPr>
        <w:instrText xml:space="preserve"> PAGEREF _Toc17627 \h </w:instrText>
      </w:r>
      <w:r>
        <w:rPr>
          <w:color w:val="auto"/>
          <w:highlight w:val="none"/>
        </w:rPr>
        <w:fldChar w:fldCharType="separate"/>
      </w:r>
      <w:r>
        <w:rPr>
          <w:color w:val="auto"/>
          <w:highlight w:val="none"/>
        </w:rPr>
        <w:t>17</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"_Toc1990" </w:instrText>
      </w:r>
      <w:r>
        <w:rPr>
          <w:color w:val="auto"/>
          <w:highlight w:val="none"/>
        </w:rPr>
        <w:fldChar w:fldCharType="separate"/>
      </w:r>
      <w:r>
        <w:rPr>
          <w:rFonts w:hint="eastAsia" w:ascii="宋体" w:hAnsi="宋体" w:eastAsia="宋体" w:cs="宋体"/>
          <w:color w:val="auto"/>
          <w:szCs w:val="36"/>
          <w:highlight w:val="none"/>
        </w:rPr>
        <w:t>第二部分   采购内容及要求</w:t>
      </w:r>
      <w:r>
        <w:rPr>
          <w:color w:val="auto"/>
          <w:highlight w:val="none"/>
        </w:rPr>
        <w:tab/>
      </w:r>
      <w:r>
        <w:rPr>
          <w:color w:val="auto"/>
          <w:highlight w:val="none"/>
        </w:rPr>
        <w:fldChar w:fldCharType="begin"/>
      </w:r>
      <w:r>
        <w:rPr>
          <w:color w:val="auto"/>
          <w:highlight w:val="none"/>
        </w:rPr>
        <w:instrText xml:space="preserve"> PAGEREF _Toc1990 \h </w:instrText>
      </w:r>
      <w:r>
        <w:rPr>
          <w:color w:val="auto"/>
          <w:highlight w:val="none"/>
        </w:rPr>
        <w:fldChar w:fldCharType="separate"/>
      </w:r>
      <w:r>
        <w:rPr>
          <w:color w:val="auto"/>
          <w:highlight w:val="none"/>
        </w:rPr>
        <w:t>19</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"_Toc12944" </w:instrText>
      </w:r>
      <w:r>
        <w:rPr>
          <w:color w:val="auto"/>
          <w:highlight w:val="none"/>
        </w:rPr>
        <w:fldChar w:fldCharType="separate"/>
      </w:r>
      <w:r>
        <w:rPr>
          <w:rFonts w:hint="eastAsia" w:ascii="宋体" w:hAnsi="宋体" w:eastAsia="宋体" w:cs="宋体"/>
          <w:color w:val="auto"/>
          <w:szCs w:val="36"/>
          <w:highlight w:val="none"/>
        </w:rPr>
        <w:t>第三部分   评标原则及方法</w:t>
      </w:r>
      <w:r>
        <w:rPr>
          <w:color w:val="auto"/>
          <w:highlight w:val="none"/>
        </w:rPr>
        <w:tab/>
      </w:r>
      <w:r>
        <w:rPr>
          <w:color w:val="auto"/>
          <w:highlight w:val="none"/>
        </w:rPr>
        <w:fldChar w:fldCharType="begin"/>
      </w:r>
      <w:r>
        <w:rPr>
          <w:color w:val="auto"/>
          <w:highlight w:val="none"/>
        </w:rPr>
        <w:instrText xml:space="preserve"> PAGEREF _Toc12944 \h </w:instrText>
      </w:r>
      <w:r>
        <w:rPr>
          <w:color w:val="auto"/>
          <w:highlight w:val="none"/>
        </w:rPr>
        <w:fldChar w:fldCharType="separate"/>
      </w:r>
      <w:r>
        <w:rPr>
          <w:color w:val="auto"/>
          <w:highlight w:val="none"/>
        </w:rPr>
        <w:t>23</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"_Toc2621" </w:instrText>
      </w:r>
      <w:r>
        <w:rPr>
          <w:color w:val="auto"/>
          <w:highlight w:val="none"/>
        </w:rPr>
        <w:fldChar w:fldCharType="separate"/>
      </w:r>
      <w:r>
        <w:rPr>
          <w:rFonts w:hint="eastAsia" w:ascii="宋体" w:hAnsi="宋体" w:eastAsia="宋体" w:cs="宋体"/>
          <w:color w:val="auto"/>
          <w:szCs w:val="36"/>
          <w:highlight w:val="none"/>
        </w:rPr>
        <w:t>第四部分   合同格式</w:t>
      </w:r>
      <w:r>
        <w:rPr>
          <w:color w:val="auto"/>
          <w:highlight w:val="none"/>
        </w:rPr>
        <w:tab/>
      </w:r>
      <w:r>
        <w:rPr>
          <w:color w:val="auto"/>
          <w:highlight w:val="none"/>
        </w:rPr>
        <w:fldChar w:fldCharType="begin"/>
      </w:r>
      <w:r>
        <w:rPr>
          <w:color w:val="auto"/>
          <w:highlight w:val="none"/>
        </w:rPr>
        <w:instrText xml:space="preserve"> PAGEREF _Toc2621 \h </w:instrText>
      </w:r>
      <w:r>
        <w:rPr>
          <w:color w:val="auto"/>
          <w:highlight w:val="none"/>
        </w:rPr>
        <w:fldChar w:fldCharType="separate"/>
      </w:r>
      <w:r>
        <w:rPr>
          <w:color w:val="auto"/>
          <w:highlight w:val="none"/>
        </w:rPr>
        <w:t>26</w:t>
      </w:r>
      <w:r>
        <w:rPr>
          <w:color w:val="auto"/>
          <w:highlight w:val="none"/>
        </w:rPr>
        <w:fldChar w:fldCharType="end"/>
      </w:r>
      <w:r>
        <w:rPr>
          <w:color w:val="auto"/>
          <w:highlight w:val="none"/>
        </w:rPr>
        <w:fldChar w:fldCharType="end"/>
      </w:r>
    </w:p>
    <w:p>
      <w:pPr>
        <w:pStyle w:val="27"/>
        <w:tabs>
          <w:tab w:val="right" w:leader="dot" w:pos="9638"/>
          <w:tab w:val="clear" w:pos="9628"/>
        </w:tabs>
        <w:rPr>
          <w:color w:val="auto"/>
          <w:highlight w:val="none"/>
        </w:rPr>
      </w:pPr>
      <w:r>
        <w:rPr>
          <w:color w:val="auto"/>
          <w:highlight w:val="none"/>
        </w:rPr>
        <w:fldChar w:fldCharType="begin"/>
      </w:r>
      <w:r>
        <w:rPr>
          <w:color w:val="auto"/>
          <w:highlight w:val="none"/>
        </w:rPr>
        <w:instrText xml:space="preserve"> HYPERLINK \l "_Toc8971" </w:instrText>
      </w:r>
      <w:r>
        <w:rPr>
          <w:color w:val="auto"/>
          <w:highlight w:val="none"/>
        </w:rPr>
        <w:fldChar w:fldCharType="separate"/>
      </w:r>
      <w:r>
        <w:rPr>
          <w:rFonts w:hint="eastAsia" w:ascii="宋体" w:hAnsi="宋体" w:eastAsia="宋体" w:cs="宋体"/>
          <w:color w:val="auto"/>
          <w:szCs w:val="36"/>
          <w:highlight w:val="none"/>
        </w:rPr>
        <w:t>第五部分   附件</w:t>
      </w:r>
      <w:r>
        <w:rPr>
          <w:color w:val="auto"/>
          <w:highlight w:val="none"/>
        </w:rPr>
        <w:tab/>
      </w:r>
      <w:r>
        <w:rPr>
          <w:color w:val="auto"/>
          <w:highlight w:val="none"/>
        </w:rPr>
        <w:fldChar w:fldCharType="begin"/>
      </w:r>
      <w:r>
        <w:rPr>
          <w:color w:val="auto"/>
          <w:highlight w:val="none"/>
        </w:rPr>
        <w:instrText xml:space="preserve"> PAGEREF _Toc8971 \h </w:instrText>
      </w:r>
      <w:r>
        <w:rPr>
          <w:color w:val="auto"/>
          <w:highlight w:val="none"/>
        </w:rPr>
        <w:fldChar w:fldCharType="separate"/>
      </w:r>
      <w:r>
        <w:rPr>
          <w:color w:val="auto"/>
          <w:highlight w:val="none"/>
        </w:rPr>
        <w:t>28</w:t>
      </w:r>
      <w:r>
        <w:rPr>
          <w:color w:val="auto"/>
          <w:highlight w:val="none"/>
        </w:rPr>
        <w:fldChar w:fldCharType="end"/>
      </w:r>
      <w:r>
        <w:rPr>
          <w:color w:val="auto"/>
          <w:highlight w:val="none"/>
        </w:rPr>
        <w:fldChar w:fldCharType="end"/>
      </w:r>
    </w:p>
    <w:p>
      <w:pPr>
        <w:pStyle w:val="27"/>
        <w:rPr>
          <w:rFonts w:ascii="宋体" w:hAnsi="宋体" w:cs="宋体"/>
          <w:b/>
          <w:bCs w:val="0"/>
          <w:color w:val="auto"/>
          <w:sz w:val="22"/>
          <w:szCs w:val="22"/>
          <w:highlight w:val="none"/>
        </w:rPr>
      </w:pPr>
      <w:r>
        <w:rPr>
          <w:rFonts w:hint="eastAsia" w:ascii="宋体" w:hAnsi="宋体" w:cs="宋体"/>
          <w:bCs w:val="0"/>
          <w:color w:val="auto"/>
          <w:highlight w:val="none"/>
        </w:rPr>
        <w:fldChar w:fldCharType="end"/>
      </w:r>
    </w:p>
    <w:p>
      <w:pPr>
        <w:spacing w:line="5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注：采购文件中部分加“▲”及加下划线的条款，为采购的实质性要求和条件，着重提醒各投标人注意，并认真查看采购文件中的每一个条款及要求，因误读采购文件而造成的后果，采购人概不负责。</w:t>
      </w:r>
    </w:p>
    <w:p>
      <w:pPr>
        <w:spacing w:line="560" w:lineRule="exact"/>
        <w:rPr>
          <w:rFonts w:ascii="宋体" w:hAnsi="宋体" w:cs="宋体"/>
          <w:b/>
          <w:bCs/>
          <w:color w:val="auto"/>
          <w:sz w:val="22"/>
          <w:szCs w:val="22"/>
          <w:highlight w:val="none"/>
        </w:rPr>
      </w:pPr>
    </w:p>
    <w:p>
      <w:pPr>
        <w:spacing w:line="380" w:lineRule="exact"/>
        <w:ind w:right="720"/>
        <w:rPr>
          <w:rFonts w:ascii="宋体" w:hAnsi="宋体" w:cs="宋体"/>
          <w:color w:val="auto"/>
          <w:sz w:val="22"/>
          <w:szCs w:val="22"/>
          <w:highlight w:val="none"/>
        </w:rPr>
      </w:pPr>
    </w:p>
    <w:p>
      <w:pPr>
        <w:spacing w:line="380" w:lineRule="exact"/>
        <w:ind w:right="720"/>
        <w:rPr>
          <w:rFonts w:ascii="宋体" w:hAnsi="宋体" w:cs="宋体"/>
          <w:color w:val="auto"/>
          <w:sz w:val="22"/>
          <w:szCs w:val="22"/>
          <w:highlight w:val="none"/>
        </w:rPr>
      </w:pPr>
    </w:p>
    <w:p>
      <w:pPr>
        <w:spacing w:line="380" w:lineRule="exact"/>
        <w:ind w:right="720"/>
        <w:rPr>
          <w:rFonts w:ascii="宋体" w:hAnsi="宋体" w:cs="宋体"/>
          <w:b/>
          <w:color w:val="auto"/>
          <w:kern w:val="0"/>
          <w:sz w:val="28"/>
          <w:szCs w:val="28"/>
          <w:highlight w:val="none"/>
        </w:rPr>
      </w:pPr>
      <w:r>
        <w:rPr>
          <w:rFonts w:hint="eastAsia" w:ascii="宋体" w:hAnsi="宋体" w:cs="宋体"/>
          <w:color w:val="auto"/>
          <w:sz w:val="22"/>
          <w:szCs w:val="22"/>
          <w:highlight w:val="none"/>
        </w:rPr>
        <w:br w:type="page"/>
      </w:r>
    </w:p>
    <w:p>
      <w:pPr>
        <w:pStyle w:val="4"/>
        <w:tabs>
          <w:tab w:val="left" w:pos="840"/>
        </w:tabs>
        <w:rPr>
          <w:rFonts w:ascii="宋体" w:hAnsi="宋体" w:eastAsia="宋体" w:cs="宋体"/>
          <w:color w:val="auto"/>
          <w:sz w:val="30"/>
          <w:szCs w:val="30"/>
          <w:highlight w:val="none"/>
        </w:rPr>
      </w:pPr>
      <w:bookmarkStart w:id="0" w:name="_Toc44227979"/>
      <w:bookmarkStart w:id="1" w:name="_Toc31357"/>
      <w:r>
        <w:rPr>
          <w:rFonts w:hint="eastAsia" w:ascii="新宋体" w:hAnsi="新宋体" w:eastAsia="新宋体" w:cs="新宋体"/>
          <w:color w:val="auto"/>
          <w:sz w:val="30"/>
          <w:szCs w:val="30"/>
          <w:highlight w:val="none"/>
        </w:rPr>
        <w:t>温州市现代集团所属</w:t>
      </w:r>
      <w:r>
        <w:rPr>
          <w:rFonts w:hint="eastAsia" w:ascii="宋体" w:hAnsi="宋体" w:eastAsia="宋体" w:cs="宋体"/>
          <w:color w:val="auto"/>
          <w:sz w:val="30"/>
          <w:szCs w:val="30"/>
          <w:highlight w:val="none"/>
        </w:rPr>
        <w:t>浙江东方职业技术学院关于</w:t>
      </w:r>
      <w:r>
        <w:rPr>
          <w:rFonts w:hint="eastAsia" w:ascii="宋体" w:hAnsi="宋体" w:eastAsia="宋体" w:cs="宋体"/>
          <w:color w:val="auto"/>
          <w:sz w:val="30"/>
          <w:szCs w:val="30"/>
          <w:highlight w:val="none"/>
          <w:lang w:eastAsia="zh-CN"/>
        </w:rPr>
        <w:t>教育部职业院校中台数据对接服务</w:t>
      </w:r>
      <w:r>
        <w:rPr>
          <w:rFonts w:hint="eastAsia" w:ascii="新宋体" w:hAnsi="新宋体" w:eastAsia="新宋体" w:cs="新宋体"/>
          <w:sz w:val="30"/>
          <w:szCs w:val="30"/>
        </w:rPr>
        <w:t>项目</w:t>
      </w:r>
      <w:r>
        <w:rPr>
          <w:rFonts w:hint="eastAsia" w:ascii="宋体" w:hAnsi="宋体" w:eastAsia="宋体" w:cs="宋体"/>
          <w:color w:val="auto"/>
          <w:sz w:val="30"/>
          <w:szCs w:val="30"/>
          <w:highlight w:val="none"/>
        </w:rPr>
        <w:t>(自主)的采购公告</w:t>
      </w:r>
      <w:bookmarkEnd w:id="0"/>
      <w:bookmarkEnd w:id="1"/>
    </w:p>
    <w:p>
      <w:pPr>
        <w:widowControl/>
        <w:spacing w:line="400" w:lineRule="exact"/>
        <w:jc w:val="center"/>
        <w:rPr>
          <w:rFonts w:ascii="宋体" w:hAnsi="宋体" w:cs="宋体"/>
          <w:b/>
          <w:color w:val="auto"/>
          <w:kern w:val="0"/>
          <w:sz w:val="24"/>
          <w:highlight w:val="none"/>
        </w:rPr>
      </w:pPr>
    </w:p>
    <w:p>
      <w:pPr>
        <w:widowControl/>
        <w:spacing w:line="40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根据《温州市市属国有企业采购管理办法（试行）》等有关规定，温州元信工程项目管理有限公司受浙江东方职业技术学院委托，就</w:t>
      </w:r>
      <w:r>
        <w:rPr>
          <w:rFonts w:hint="eastAsia" w:ascii="宋体" w:hAnsi="宋体" w:cs="宋体"/>
          <w:bCs/>
          <w:color w:val="auto"/>
          <w:kern w:val="0"/>
          <w:sz w:val="22"/>
          <w:szCs w:val="22"/>
          <w:highlight w:val="none"/>
          <w:lang w:eastAsia="zh-CN"/>
        </w:rPr>
        <w:t>教育部职业院校中台数据对接服务项目</w:t>
      </w:r>
      <w:r>
        <w:rPr>
          <w:rFonts w:hint="eastAsia" w:ascii="宋体" w:hAnsi="宋体" w:cs="宋体"/>
          <w:color w:val="auto"/>
          <w:kern w:val="0"/>
          <w:sz w:val="22"/>
          <w:szCs w:val="22"/>
          <w:highlight w:val="none"/>
        </w:rPr>
        <w:t>以公开招标方式进行国企采购，欢迎国内合格的投标人前来投标。</w:t>
      </w:r>
    </w:p>
    <w:p>
      <w:pPr>
        <w:widowControl/>
        <w:spacing w:line="400" w:lineRule="exact"/>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一、采购编号：WGSS-XDJT-Z-2024016</w:t>
      </w:r>
    </w:p>
    <w:p>
      <w:pPr>
        <w:widowControl/>
        <w:spacing w:line="400" w:lineRule="exact"/>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二、采购类型：国企采购（非政府采购项目）</w:t>
      </w:r>
    </w:p>
    <w:p>
      <w:pPr>
        <w:widowControl/>
        <w:spacing w:line="400" w:lineRule="exact"/>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三、采购项目概况：（内容、用途、数量、简要技术要求等）</w:t>
      </w:r>
    </w:p>
    <w:tbl>
      <w:tblPr>
        <w:tblStyle w:val="35"/>
        <w:tblW w:w="4998" w:type="pct"/>
        <w:tblInd w:w="0" w:type="dxa"/>
        <w:tblLayout w:type="autofit"/>
        <w:tblCellMar>
          <w:top w:w="0" w:type="dxa"/>
          <w:left w:w="108" w:type="dxa"/>
          <w:bottom w:w="0" w:type="dxa"/>
          <w:right w:w="108" w:type="dxa"/>
        </w:tblCellMar>
      </w:tblPr>
      <w:tblGrid>
        <w:gridCol w:w="934"/>
        <w:gridCol w:w="2810"/>
        <w:gridCol w:w="1959"/>
        <w:gridCol w:w="4147"/>
      </w:tblGrid>
      <w:tr>
        <w:tblPrEx>
          <w:tblCellMar>
            <w:top w:w="0" w:type="dxa"/>
            <w:left w:w="108" w:type="dxa"/>
            <w:bottom w:w="0" w:type="dxa"/>
            <w:right w:w="108" w:type="dxa"/>
          </w:tblCellMar>
        </w:tblPrEx>
        <w:trPr>
          <w:trHeight w:val="759" w:hRule="atLeast"/>
        </w:trPr>
        <w:tc>
          <w:tcPr>
            <w:tcW w:w="4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序号</w:t>
            </w:r>
          </w:p>
        </w:tc>
        <w:tc>
          <w:tcPr>
            <w:tcW w:w="142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标项内容</w:t>
            </w:r>
          </w:p>
        </w:tc>
        <w:tc>
          <w:tcPr>
            <w:tcW w:w="99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预算</w:t>
            </w:r>
          </w:p>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金额</w:t>
            </w:r>
          </w:p>
        </w:tc>
        <w:tc>
          <w:tcPr>
            <w:tcW w:w="210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简要技术要求、用途</w:t>
            </w:r>
          </w:p>
        </w:tc>
      </w:tr>
      <w:tr>
        <w:tblPrEx>
          <w:tblCellMar>
            <w:top w:w="0" w:type="dxa"/>
            <w:left w:w="108" w:type="dxa"/>
            <w:bottom w:w="0" w:type="dxa"/>
            <w:right w:w="108" w:type="dxa"/>
          </w:tblCellMar>
        </w:tblPrEx>
        <w:trPr>
          <w:trHeight w:val="998" w:hRule="atLeast"/>
        </w:trPr>
        <w:tc>
          <w:tcPr>
            <w:tcW w:w="47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1</w:t>
            </w:r>
          </w:p>
        </w:tc>
        <w:tc>
          <w:tcPr>
            <w:tcW w:w="1426"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hint="eastAsia" w:ascii="宋体" w:hAnsi="宋体" w:eastAsia="宋体" w:cs="宋体"/>
                <w:bCs/>
                <w:color w:val="auto"/>
                <w:kern w:val="0"/>
                <w:sz w:val="22"/>
                <w:szCs w:val="22"/>
                <w:highlight w:val="none"/>
                <w:lang w:eastAsia="zh-CN"/>
              </w:rPr>
            </w:pPr>
            <w:r>
              <w:rPr>
                <w:rFonts w:hint="eastAsia" w:ascii="宋体" w:hAnsi="宋体" w:cs="宋体"/>
                <w:bCs/>
                <w:color w:val="auto"/>
                <w:kern w:val="0"/>
                <w:sz w:val="22"/>
                <w:szCs w:val="22"/>
                <w:highlight w:val="none"/>
              </w:rPr>
              <w:t xml:space="preserve"> </w:t>
            </w:r>
            <w:r>
              <w:rPr>
                <w:rFonts w:hint="eastAsia" w:ascii="宋体" w:hAnsi="宋体" w:cs="宋体"/>
                <w:bCs/>
                <w:color w:val="auto"/>
                <w:kern w:val="0"/>
                <w:sz w:val="22"/>
                <w:szCs w:val="22"/>
                <w:highlight w:val="none"/>
                <w:lang w:eastAsia="zh-CN"/>
              </w:rPr>
              <w:t>教育部职业院校中台数据对接服务</w:t>
            </w:r>
          </w:p>
        </w:tc>
        <w:tc>
          <w:tcPr>
            <w:tcW w:w="99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ind w:left="60" w:right="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w:t>
            </w:r>
            <w:r>
              <w:rPr>
                <w:rFonts w:hint="eastAsia" w:ascii="宋体" w:hAnsi="宋体" w:cs="宋体"/>
                <w:bCs/>
                <w:color w:val="auto"/>
                <w:kern w:val="0"/>
                <w:sz w:val="22"/>
                <w:szCs w:val="22"/>
                <w:highlight w:val="none"/>
                <w:lang w:val="en-US" w:eastAsia="zh-CN"/>
              </w:rPr>
              <w:t>0</w:t>
            </w:r>
            <w:r>
              <w:rPr>
                <w:rFonts w:hint="eastAsia" w:ascii="宋体" w:hAnsi="宋体" w:cs="宋体"/>
                <w:bCs/>
                <w:color w:val="auto"/>
                <w:kern w:val="0"/>
                <w:sz w:val="22"/>
                <w:szCs w:val="22"/>
                <w:highlight w:val="none"/>
              </w:rPr>
              <w:t>万元</w:t>
            </w:r>
          </w:p>
        </w:tc>
        <w:tc>
          <w:tcPr>
            <w:tcW w:w="2104" w:type="pct"/>
            <w:tcBorders>
              <w:top w:val="single" w:color="000000" w:sz="4" w:space="0"/>
              <w:left w:val="single" w:color="000000" w:sz="4" w:space="0"/>
              <w:bottom w:val="single" w:color="000000" w:sz="4" w:space="0"/>
              <w:right w:val="single" w:color="000000" w:sz="4" w:space="0"/>
            </w:tcBorders>
            <w:tcMar>
              <w:top w:w="0" w:type="dxa"/>
              <w:left w:w="108" w:type="dxa"/>
              <w:bottom w:w="0" w:type="dxa"/>
              <w:right w:w="108" w:type="dxa"/>
            </w:tcMar>
            <w:vAlign w:val="center"/>
          </w:tcPr>
          <w:p>
            <w:pPr>
              <w:widowControl/>
              <w:spacing w:before="60" w:after="60"/>
              <w:jc w:val="center"/>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 xml:space="preserve"> </w:t>
            </w:r>
            <w:r>
              <w:rPr>
                <w:rFonts w:hint="eastAsia" w:ascii="宋体" w:hAnsi="宋体" w:cs="宋体"/>
                <w:bCs/>
                <w:color w:val="auto"/>
                <w:kern w:val="0"/>
                <w:sz w:val="22"/>
                <w:szCs w:val="22"/>
                <w:highlight w:val="none"/>
                <w:lang w:eastAsia="zh-CN"/>
              </w:rPr>
              <w:t>教育部职业院校中台数据对接服务</w:t>
            </w:r>
            <w:r>
              <w:rPr>
                <w:rFonts w:hint="eastAsia" w:ascii="宋体" w:hAnsi="宋体" w:cs="宋体"/>
                <w:bCs/>
                <w:color w:val="auto"/>
                <w:kern w:val="0"/>
                <w:sz w:val="22"/>
                <w:szCs w:val="22"/>
                <w:highlight w:val="none"/>
              </w:rPr>
              <w:t>，具体采购内容及要求见采购文件相关部分。</w:t>
            </w:r>
          </w:p>
        </w:tc>
      </w:tr>
    </w:tbl>
    <w:p>
      <w:pPr>
        <w:widowControl/>
        <w:spacing w:line="400" w:lineRule="exact"/>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四、投标人资格要求：</w:t>
      </w:r>
    </w:p>
    <w:p>
      <w:pPr>
        <w:tabs>
          <w:tab w:val="left" w:pos="360"/>
          <w:tab w:val="left" w:pos="992"/>
        </w:tabs>
        <w:spacing w:line="460" w:lineRule="exact"/>
        <w:ind w:left="425"/>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（一）基本条件：</w:t>
      </w:r>
    </w:p>
    <w:p>
      <w:pPr>
        <w:widowControl/>
        <w:spacing w:before="60" w:after="60" w:line="360" w:lineRule="exact"/>
        <w:ind w:left="567" w:leftChars="270" w:right="60"/>
        <w:jc w:val="left"/>
        <w:rPr>
          <w:rFonts w:ascii="宋体" w:hAnsi="宋体" w:cs="宋体"/>
          <w:b/>
          <w:color w:val="auto"/>
          <w:sz w:val="22"/>
          <w:szCs w:val="22"/>
          <w:highlight w:val="none"/>
        </w:rPr>
      </w:pPr>
      <w:r>
        <w:rPr>
          <w:rFonts w:hint="eastAsia" w:ascii="宋体" w:hAnsi="宋体" w:cs="宋体"/>
          <w:b/>
          <w:color w:val="auto"/>
          <w:sz w:val="22"/>
          <w:szCs w:val="22"/>
          <w:highlight w:val="none"/>
        </w:rPr>
        <w:t>（1）符合《温州市市属国有企业采购管理办法（试行）》第十五条对投标人参加温州市国有企业采购活动应当具备的条件的要求；</w:t>
      </w:r>
    </w:p>
    <w:p>
      <w:pPr>
        <w:widowControl/>
        <w:spacing w:before="60" w:after="60" w:line="360" w:lineRule="exact"/>
        <w:ind w:left="567" w:leftChars="270" w:right="60"/>
        <w:jc w:val="left"/>
        <w:rPr>
          <w:rFonts w:ascii="宋体" w:hAnsi="宋体" w:cs="宋体"/>
          <w:b/>
          <w:color w:val="auto"/>
          <w:sz w:val="22"/>
          <w:szCs w:val="22"/>
          <w:highlight w:val="none"/>
        </w:rPr>
      </w:pPr>
      <w:r>
        <w:rPr>
          <w:rFonts w:hint="eastAsia" w:ascii="宋体" w:hAnsi="宋体" w:cs="宋体"/>
          <w:b/>
          <w:color w:val="auto"/>
          <w:sz w:val="22"/>
          <w:szCs w:val="22"/>
          <w:highlight w:val="none"/>
        </w:rPr>
        <w:t>（2）</w:t>
      </w:r>
      <w:r>
        <w:rPr>
          <w:rFonts w:hint="eastAsia" w:ascii="宋体" w:hAnsi="宋体" w:cs="宋体"/>
          <w:b/>
          <w:color w:val="auto"/>
          <w:sz w:val="22"/>
          <w:szCs w:val="22"/>
          <w:highlight w:val="none"/>
          <w:lang w:val="zh-CN"/>
        </w:rPr>
        <w:t>单位负责人为同一人或者存在直接控股、管理关系的不同投标人，不得参加同一合同项下的采购活动</w:t>
      </w:r>
      <w:r>
        <w:rPr>
          <w:rFonts w:hint="eastAsia" w:ascii="宋体" w:hAnsi="宋体" w:cs="宋体"/>
          <w:b/>
          <w:color w:val="auto"/>
          <w:sz w:val="22"/>
          <w:szCs w:val="22"/>
          <w:highlight w:val="none"/>
        </w:rPr>
        <w:t>；</w:t>
      </w:r>
    </w:p>
    <w:p>
      <w:pPr>
        <w:tabs>
          <w:tab w:val="left" w:pos="360"/>
          <w:tab w:val="left" w:pos="992"/>
        </w:tabs>
        <w:spacing w:line="460" w:lineRule="exact"/>
        <w:ind w:left="420"/>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（二）特定条件：</w:t>
      </w:r>
    </w:p>
    <w:p>
      <w:pPr>
        <w:widowControl/>
        <w:spacing w:before="60" w:after="60" w:line="360" w:lineRule="exact"/>
        <w:ind w:left="567" w:leftChars="270" w:right="60"/>
        <w:jc w:val="left"/>
        <w:rPr>
          <w:rFonts w:ascii="宋体" w:hAnsi="宋体" w:cs="宋体"/>
          <w:b/>
          <w:color w:val="auto"/>
          <w:sz w:val="22"/>
          <w:szCs w:val="22"/>
          <w:highlight w:val="none"/>
        </w:rPr>
      </w:pPr>
      <w:r>
        <w:rPr>
          <w:rFonts w:hint="eastAsia" w:ascii="宋体" w:hAnsi="宋体" w:cs="宋体"/>
          <w:b/>
          <w:color w:val="auto"/>
          <w:sz w:val="22"/>
          <w:szCs w:val="22"/>
          <w:highlight w:val="none"/>
        </w:rPr>
        <w:t>（1）本项目不接受联合体投标。</w:t>
      </w:r>
    </w:p>
    <w:p>
      <w:pPr>
        <w:widowControl/>
        <w:spacing w:line="400" w:lineRule="exact"/>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五、报名及采购文件发售：</w:t>
      </w:r>
    </w:p>
    <w:p>
      <w:pPr>
        <w:widowControl/>
        <w:spacing w:line="40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1、报名时间：自本公告公布日起至截标之前，报名单位准备好资料均可报名（上午：8:30-11:30   下午：14:30-16:30  双休日及法定节假日除外）。</w:t>
      </w:r>
    </w:p>
    <w:p>
      <w:pPr>
        <w:widowControl/>
        <w:spacing w:line="400" w:lineRule="exact"/>
        <w:ind w:firstLine="440" w:firstLineChars="200"/>
        <w:jc w:val="left"/>
        <w:rPr>
          <w:rFonts w:ascii="宋体" w:hAnsi="宋体" w:cs="宋体"/>
          <w:b/>
          <w:color w:val="auto"/>
          <w:kern w:val="0"/>
          <w:sz w:val="22"/>
          <w:szCs w:val="22"/>
          <w:highlight w:val="none"/>
        </w:rPr>
      </w:pPr>
      <w:r>
        <w:rPr>
          <w:rFonts w:hint="eastAsia" w:ascii="宋体" w:hAnsi="宋体" w:cs="宋体"/>
          <w:color w:val="auto"/>
          <w:kern w:val="0"/>
          <w:sz w:val="22"/>
          <w:szCs w:val="22"/>
          <w:highlight w:val="none"/>
        </w:rPr>
        <w:t>2、</w:t>
      </w:r>
      <w:r>
        <w:rPr>
          <w:rFonts w:hint="eastAsia" w:ascii="宋体" w:hAnsi="宋体" w:cs="宋体"/>
          <w:b/>
          <w:color w:val="auto"/>
          <w:sz w:val="22"/>
          <w:szCs w:val="22"/>
          <w:highlight w:val="none"/>
        </w:rPr>
        <w:t>报名方式：网上报名（报名网址：</w:t>
      </w:r>
      <w:r>
        <w:rPr>
          <w:rFonts w:hint="eastAsia" w:ascii="宋体" w:hAnsi="宋体" w:cs="宋体"/>
          <w:color w:val="auto"/>
          <w:kern w:val="0"/>
          <w:szCs w:val="21"/>
          <w:highlight w:val="none"/>
        </w:rPr>
        <w:t>https://www.zcygov.cn/</w:t>
      </w:r>
      <w:r>
        <w:rPr>
          <w:rFonts w:hint="eastAsia" w:ascii="宋体" w:hAnsi="宋体" w:cs="宋体"/>
          <w:b/>
          <w:color w:val="auto"/>
          <w:sz w:val="22"/>
          <w:szCs w:val="22"/>
          <w:highlight w:val="none"/>
        </w:rPr>
        <w:t>）（未注册的投标人请尽早注册，客服电话：95763），</w:t>
      </w:r>
      <w:r>
        <w:rPr>
          <w:rFonts w:hint="eastAsia" w:ascii="宋体" w:hAnsi="宋体" w:cs="宋体"/>
          <w:b/>
          <w:color w:val="auto"/>
          <w:kern w:val="0"/>
          <w:sz w:val="22"/>
          <w:szCs w:val="22"/>
          <w:highlight w:val="none"/>
        </w:rPr>
        <w:t>投标人报名成功后自行下载采购文件</w:t>
      </w:r>
      <w:r>
        <w:rPr>
          <w:rFonts w:hint="eastAsia" w:ascii="宋体" w:hAnsi="宋体" w:cs="宋体"/>
          <w:b/>
          <w:color w:val="auto"/>
          <w:sz w:val="22"/>
          <w:szCs w:val="22"/>
          <w:highlight w:val="none"/>
        </w:rPr>
        <w:t>，还须将书面报名资料提交至采购代理机构并办理购买采购文件事宜。</w:t>
      </w:r>
    </w:p>
    <w:p>
      <w:pPr>
        <w:widowControl/>
        <w:spacing w:line="40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3、报名地点及采购文件发售地点：温州市新桥街道牛山广场3号楼1905室。</w:t>
      </w:r>
    </w:p>
    <w:p>
      <w:pPr>
        <w:widowControl/>
        <w:spacing w:line="400" w:lineRule="exact"/>
        <w:ind w:firstLine="440" w:firstLineChars="200"/>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4、采购文件售价：人民币500元整(售后不退)</w:t>
      </w:r>
    </w:p>
    <w:p>
      <w:pPr>
        <w:widowControl/>
        <w:spacing w:line="380" w:lineRule="exact"/>
        <w:jc w:val="left"/>
        <w:rPr>
          <w:rFonts w:ascii="宋体" w:hAnsi="宋体" w:cs="宋体"/>
          <w:color w:val="auto"/>
          <w:kern w:val="0"/>
          <w:sz w:val="22"/>
          <w:szCs w:val="22"/>
          <w:highlight w:val="none"/>
        </w:rPr>
      </w:pPr>
      <w:r>
        <w:rPr>
          <w:rFonts w:hint="eastAsia" w:ascii="宋体" w:hAnsi="宋体" w:cs="宋体"/>
          <w:b/>
          <w:color w:val="auto"/>
          <w:kern w:val="0"/>
          <w:sz w:val="22"/>
          <w:szCs w:val="22"/>
          <w:highlight w:val="none"/>
        </w:rPr>
        <w:t>六、</w:t>
      </w:r>
      <w:r>
        <w:rPr>
          <w:rFonts w:hint="eastAsia" w:ascii="宋体" w:hAnsi="宋体" w:cs="宋体"/>
          <w:b/>
          <w:bCs/>
          <w:color w:val="auto"/>
          <w:kern w:val="0"/>
          <w:sz w:val="22"/>
          <w:szCs w:val="22"/>
          <w:highlight w:val="none"/>
        </w:rPr>
        <w:t>投标及开标信息</w:t>
      </w:r>
    </w:p>
    <w:p>
      <w:pPr>
        <w:widowControl/>
        <w:spacing w:line="440" w:lineRule="exact"/>
        <w:ind w:firstLine="543" w:firstLineChars="246"/>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投标截止时间：</w:t>
      </w:r>
      <w:bookmarkStart w:id="2" w:name="B23_谈判响应文件提交截止日期"/>
      <w:bookmarkEnd w:id="2"/>
      <w:r>
        <w:rPr>
          <w:rFonts w:hint="eastAsia" w:ascii="宋体" w:hAnsi="宋体" w:cs="宋体"/>
          <w:b/>
          <w:bCs/>
          <w:color w:val="auto"/>
          <w:kern w:val="0"/>
          <w:sz w:val="22"/>
          <w:szCs w:val="22"/>
          <w:highlight w:val="none"/>
        </w:rPr>
        <w:t>2024年</w:t>
      </w:r>
      <w:r>
        <w:rPr>
          <w:rFonts w:hint="eastAsia" w:ascii="宋体" w:hAnsi="宋体" w:cs="宋体"/>
          <w:b/>
          <w:bCs/>
          <w:color w:val="auto"/>
          <w:kern w:val="0"/>
          <w:sz w:val="22"/>
          <w:szCs w:val="22"/>
          <w:highlight w:val="none"/>
          <w:lang w:val="en-US" w:eastAsia="zh-CN"/>
        </w:rPr>
        <w:t>5</w:t>
      </w:r>
      <w:r>
        <w:rPr>
          <w:rFonts w:hint="eastAsia" w:ascii="宋体" w:hAnsi="宋体" w:cs="宋体"/>
          <w:b/>
          <w:bCs/>
          <w:color w:val="auto"/>
          <w:kern w:val="0"/>
          <w:sz w:val="22"/>
          <w:szCs w:val="22"/>
          <w:highlight w:val="none"/>
        </w:rPr>
        <w:t>月</w:t>
      </w:r>
      <w:r>
        <w:rPr>
          <w:rFonts w:hint="eastAsia" w:ascii="宋体" w:hAnsi="宋体" w:cs="宋体"/>
          <w:b/>
          <w:bCs/>
          <w:color w:val="auto"/>
          <w:kern w:val="0"/>
          <w:sz w:val="22"/>
          <w:szCs w:val="22"/>
          <w:highlight w:val="none"/>
          <w:lang w:val="en-US" w:eastAsia="zh-CN"/>
        </w:rPr>
        <w:t>15</w:t>
      </w:r>
      <w:r>
        <w:rPr>
          <w:rFonts w:hint="eastAsia" w:ascii="宋体" w:hAnsi="宋体" w:cs="宋体"/>
          <w:b/>
          <w:bCs/>
          <w:color w:val="auto"/>
          <w:kern w:val="0"/>
          <w:sz w:val="22"/>
          <w:szCs w:val="22"/>
          <w:highlight w:val="none"/>
        </w:rPr>
        <w:t>日</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时</w:t>
      </w:r>
      <w:r>
        <w:rPr>
          <w:rFonts w:hint="eastAsia" w:ascii="宋体" w:hAnsi="宋体" w:cs="宋体"/>
          <w:b/>
          <w:bCs/>
          <w:color w:val="auto"/>
          <w:kern w:val="0"/>
          <w:sz w:val="22"/>
          <w:szCs w:val="22"/>
          <w:highlight w:val="none"/>
          <w:lang w:val="en-US" w:eastAsia="zh-CN"/>
        </w:rPr>
        <w:t>30</w:t>
      </w:r>
      <w:r>
        <w:rPr>
          <w:rFonts w:hint="eastAsia" w:ascii="宋体" w:hAnsi="宋体" w:cs="宋体"/>
          <w:b/>
          <w:bCs/>
          <w:color w:val="auto"/>
          <w:kern w:val="0"/>
          <w:sz w:val="22"/>
          <w:szCs w:val="22"/>
          <w:highlight w:val="none"/>
        </w:rPr>
        <w:t>分整。</w:t>
      </w:r>
    </w:p>
    <w:p>
      <w:pPr>
        <w:widowControl/>
        <w:spacing w:line="400" w:lineRule="exact"/>
        <w:ind w:firstLine="442" w:firstLineChars="200"/>
        <w:jc w:val="left"/>
        <w:rPr>
          <w:rFonts w:ascii="宋体" w:hAnsi="宋体" w:cs="宋体"/>
          <w:bCs/>
          <w:color w:val="auto"/>
          <w:kern w:val="0"/>
          <w:sz w:val="22"/>
          <w:szCs w:val="22"/>
          <w:highlight w:val="none"/>
        </w:rPr>
      </w:pPr>
      <w:r>
        <w:rPr>
          <w:rFonts w:hint="eastAsia" w:ascii="宋体" w:hAnsi="宋体" w:cs="宋体"/>
          <w:b/>
          <w:bCs/>
          <w:color w:val="auto"/>
          <w:kern w:val="0"/>
          <w:sz w:val="22"/>
          <w:szCs w:val="22"/>
          <w:highlight w:val="none"/>
        </w:rPr>
        <w:t>投标文件递交地点：</w:t>
      </w:r>
      <w:r>
        <w:rPr>
          <w:rFonts w:hint="eastAsia" w:ascii="宋体" w:hAnsi="宋体" w:cs="宋体"/>
          <w:color w:val="auto"/>
          <w:kern w:val="0"/>
          <w:sz w:val="22"/>
          <w:szCs w:val="22"/>
          <w:highlight w:val="none"/>
        </w:rPr>
        <w:t>浙江东方职业技术学院行政楼516会议室（温州市经开区金海三道433号）</w:t>
      </w:r>
      <w:r>
        <w:rPr>
          <w:rFonts w:hint="eastAsia" w:ascii="宋体" w:hAnsi="宋体" w:cs="宋体"/>
          <w:bCs/>
          <w:color w:val="auto"/>
          <w:kern w:val="0"/>
          <w:sz w:val="22"/>
          <w:szCs w:val="22"/>
          <w:highlight w:val="none"/>
        </w:rPr>
        <w:t>。</w:t>
      </w:r>
    </w:p>
    <w:p>
      <w:pPr>
        <w:widowControl/>
        <w:spacing w:before="60" w:after="60" w:line="380" w:lineRule="exact"/>
        <w:ind w:left="61" w:leftChars="29" w:right="60" w:firstLine="433" w:firstLineChars="196"/>
        <w:jc w:val="left"/>
        <w:rPr>
          <w:rFonts w:ascii="宋体" w:hAnsi="宋体" w:cs="宋体"/>
          <w:bCs/>
          <w:color w:val="auto"/>
          <w:kern w:val="0"/>
          <w:sz w:val="22"/>
          <w:szCs w:val="22"/>
          <w:highlight w:val="none"/>
        </w:rPr>
      </w:pPr>
      <w:r>
        <w:rPr>
          <w:rFonts w:hint="eastAsia" w:ascii="宋体" w:hAnsi="宋体" w:cs="宋体"/>
          <w:b/>
          <w:bCs/>
          <w:color w:val="auto"/>
          <w:kern w:val="0"/>
          <w:sz w:val="22"/>
          <w:szCs w:val="22"/>
          <w:highlight w:val="none"/>
        </w:rPr>
        <w:t>开标时间</w:t>
      </w:r>
      <w:r>
        <w:rPr>
          <w:rFonts w:hint="eastAsia" w:ascii="宋体" w:hAnsi="宋体" w:cs="宋体"/>
          <w:bCs/>
          <w:color w:val="auto"/>
          <w:kern w:val="0"/>
          <w:sz w:val="22"/>
          <w:szCs w:val="22"/>
          <w:highlight w:val="none"/>
        </w:rPr>
        <w:t>：</w:t>
      </w:r>
      <w:bookmarkStart w:id="3" w:name="B26_谈判时间日期"/>
      <w:bookmarkEnd w:id="3"/>
      <w:r>
        <w:rPr>
          <w:rFonts w:hint="eastAsia" w:ascii="宋体" w:hAnsi="宋体" w:cs="宋体"/>
          <w:b/>
          <w:bCs/>
          <w:color w:val="auto"/>
          <w:kern w:val="0"/>
          <w:sz w:val="22"/>
          <w:szCs w:val="22"/>
          <w:highlight w:val="none"/>
        </w:rPr>
        <w:t>2024年</w:t>
      </w:r>
      <w:r>
        <w:rPr>
          <w:rFonts w:hint="eastAsia" w:ascii="宋体" w:hAnsi="宋体" w:cs="宋体"/>
          <w:b/>
          <w:bCs/>
          <w:color w:val="auto"/>
          <w:kern w:val="0"/>
          <w:sz w:val="22"/>
          <w:szCs w:val="22"/>
          <w:highlight w:val="none"/>
          <w:lang w:val="en-US" w:eastAsia="zh-CN"/>
        </w:rPr>
        <w:t>5</w:t>
      </w:r>
      <w:r>
        <w:rPr>
          <w:rFonts w:hint="eastAsia" w:ascii="宋体" w:hAnsi="宋体" w:cs="宋体"/>
          <w:b/>
          <w:bCs/>
          <w:color w:val="auto"/>
          <w:kern w:val="0"/>
          <w:sz w:val="22"/>
          <w:szCs w:val="22"/>
          <w:highlight w:val="none"/>
        </w:rPr>
        <w:t>月</w:t>
      </w:r>
      <w:r>
        <w:rPr>
          <w:rFonts w:hint="eastAsia" w:ascii="宋体" w:hAnsi="宋体" w:cs="宋体"/>
          <w:b/>
          <w:bCs/>
          <w:color w:val="auto"/>
          <w:kern w:val="0"/>
          <w:sz w:val="22"/>
          <w:szCs w:val="22"/>
          <w:highlight w:val="none"/>
          <w:lang w:val="en-US" w:eastAsia="zh-CN"/>
        </w:rPr>
        <w:t>15</w:t>
      </w:r>
      <w:r>
        <w:rPr>
          <w:rFonts w:hint="eastAsia" w:ascii="宋体" w:hAnsi="宋体" w:cs="宋体"/>
          <w:b/>
          <w:bCs/>
          <w:color w:val="auto"/>
          <w:kern w:val="0"/>
          <w:sz w:val="22"/>
          <w:szCs w:val="22"/>
          <w:highlight w:val="none"/>
        </w:rPr>
        <w:t xml:space="preserve">日 </w:t>
      </w:r>
      <w:r>
        <w:rPr>
          <w:rFonts w:hint="eastAsia" w:ascii="宋体" w:hAnsi="宋体" w:cs="宋体"/>
          <w:b/>
          <w:bCs/>
          <w:color w:val="auto"/>
          <w:kern w:val="0"/>
          <w:sz w:val="22"/>
          <w:szCs w:val="22"/>
          <w:highlight w:val="none"/>
          <w:lang w:val="en-US" w:eastAsia="zh-CN"/>
        </w:rPr>
        <w:t>9</w:t>
      </w:r>
      <w:r>
        <w:rPr>
          <w:rFonts w:hint="eastAsia" w:ascii="宋体" w:hAnsi="宋体" w:cs="宋体"/>
          <w:b/>
          <w:bCs/>
          <w:color w:val="auto"/>
          <w:kern w:val="0"/>
          <w:sz w:val="22"/>
          <w:szCs w:val="22"/>
          <w:highlight w:val="none"/>
        </w:rPr>
        <w:t>时</w:t>
      </w:r>
      <w:r>
        <w:rPr>
          <w:rFonts w:hint="eastAsia" w:ascii="宋体" w:hAnsi="宋体" w:cs="宋体"/>
          <w:b/>
          <w:bCs/>
          <w:color w:val="auto"/>
          <w:kern w:val="0"/>
          <w:sz w:val="22"/>
          <w:szCs w:val="22"/>
          <w:highlight w:val="none"/>
          <w:lang w:val="en-US" w:eastAsia="zh-CN"/>
        </w:rPr>
        <w:t>30</w:t>
      </w:r>
      <w:r>
        <w:rPr>
          <w:rFonts w:hint="eastAsia" w:ascii="宋体" w:hAnsi="宋体" w:cs="宋体"/>
          <w:b/>
          <w:bCs/>
          <w:color w:val="auto"/>
          <w:kern w:val="0"/>
          <w:sz w:val="22"/>
          <w:szCs w:val="22"/>
          <w:highlight w:val="none"/>
        </w:rPr>
        <w:t>分整。</w:t>
      </w:r>
    </w:p>
    <w:p>
      <w:pPr>
        <w:widowControl/>
        <w:spacing w:line="400" w:lineRule="exact"/>
        <w:ind w:firstLine="442" w:firstLineChars="200"/>
        <w:jc w:val="left"/>
        <w:rPr>
          <w:rFonts w:ascii="宋体" w:hAnsi="宋体" w:cs="宋体"/>
          <w:bCs/>
          <w:color w:val="auto"/>
          <w:kern w:val="0"/>
          <w:sz w:val="22"/>
          <w:szCs w:val="22"/>
          <w:highlight w:val="none"/>
        </w:rPr>
      </w:pPr>
      <w:r>
        <w:rPr>
          <w:rFonts w:hint="eastAsia" w:ascii="宋体" w:hAnsi="宋体" w:cs="宋体"/>
          <w:b/>
          <w:bCs/>
          <w:color w:val="auto"/>
          <w:kern w:val="0"/>
          <w:sz w:val="22"/>
          <w:szCs w:val="22"/>
          <w:highlight w:val="none"/>
        </w:rPr>
        <w:t>开标地点</w:t>
      </w:r>
      <w:r>
        <w:rPr>
          <w:rFonts w:hint="eastAsia" w:ascii="宋体" w:hAnsi="宋体" w:cs="宋体"/>
          <w:bCs/>
          <w:color w:val="auto"/>
          <w:kern w:val="0"/>
          <w:sz w:val="22"/>
          <w:szCs w:val="22"/>
          <w:highlight w:val="none"/>
        </w:rPr>
        <w:t>：</w:t>
      </w:r>
      <w:r>
        <w:rPr>
          <w:rFonts w:hint="eastAsia" w:ascii="宋体" w:hAnsi="宋体" w:cs="宋体"/>
          <w:color w:val="auto"/>
          <w:kern w:val="0"/>
          <w:sz w:val="22"/>
          <w:szCs w:val="22"/>
          <w:highlight w:val="none"/>
        </w:rPr>
        <w:t>浙江东方职业技术学院行政楼516会议室（温州市经开区金海三道433号）</w:t>
      </w:r>
      <w:r>
        <w:rPr>
          <w:rFonts w:hint="eastAsia" w:ascii="宋体" w:hAnsi="宋体" w:cs="宋体"/>
          <w:color w:val="auto"/>
          <w:sz w:val="22"/>
          <w:szCs w:val="22"/>
          <w:highlight w:val="none"/>
        </w:rPr>
        <w:t>。</w:t>
      </w:r>
    </w:p>
    <w:p>
      <w:pPr>
        <w:widowControl/>
        <w:spacing w:before="60" w:after="60" w:line="380" w:lineRule="exact"/>
        <w:ind w:left="60" w:right="60"/>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七、投标保证金及交付方式：</w:t>
      </w:r>
    </w:p>
    <w:p>
      <w:pPr>
        <w:widowControl/>
        <w:spacing w:before="60" w:after="60" w:line="380" w:lineRule="exact"/>
        <w:ind w:left="420" w:right="60"/>
        <w:jc w:val="left"/>
        <w:rPr>
          <w:rFonts w:ascii="宋体" w:hAnsi="宋体" w:cs="宋体"/>
          <w:b/>
          <w:bCs/>
          <w:color w:val="auto"/>
          <w:kern w:val="0"/>
          <w:sz w:val="22"/>
          <w:szCs w:val="22"/>
          <w:highlight w:val="none"/>
        </w:rPr>
      </w:pPr>
      <w:bookmarkStart w:id="4" w:name="B29_谈判保证金"/>
      <w:bookmarkEnd w:id="4"/>
      <w:r>
        <w:rPr>
          <w:rFonts w:hint="eastAsia" w:ascii="宋体" w:hAnsi="宋体" w:cs="宋体"/>
          <w:b/>
          <w:bCs/>
          <w:color w:val="auto"/>
          <w:kern w:val="0"/>
          <w:sz w:val="22"/>
          <w:szCs w:val="22"/>
          <w:highlight w:val="none"/>
        </w:rPr>
        <w:t>投标保证金额：</w:t>
      </w:r>
      <w:r>
        <w:rPr>
          <w:rFonts w:hint="eastAsia" w:ascii="宋体" w:hAnsi="宋体" w:cs="宋体"/>
          <w:b/>
          <w:bCs/>
          <w:color w:val="auto"/>
          <w:szCs w:val="21"/>
          <w:highlight w:val="none"/>
        </w:rPr>
        <w:t>▲</w:t>
      </w:r>
      <w:r>
        <w:rPr>
          <w:rFonts w:hint="eastAsia" w:ascii="宋体" w:hAnsi="宋体" w:cs="宋体"/>
          <w:b/>
          <w:bCs/>
          <w:color w:val="auto"/>
          <w:kern w:val="0"/>
          <w:sz w:val="22"/>
          <w:szCs w:val="22"/>
          <w:highlight w:val="none"/>
          <w:u w:val="single"/>
        </w:rPr>
        <w:t>人民币贰仟元整（投标人须在投标截止时间前将投标保证金以银行转帐形式缴纳并到帐，汇出账号须为投标人银行帐户）</w:t>
      </w:r>
      <w:r>
        <w:rPr>
          <w:rFonts w:hint="eastAsia" w:ascii="宋体" w:hAnsi="宋体" w:cs="宋体"/>
          <w:b/>
          <w:bCs/>
          <w:color w:val="auto"/>
          <w:kern w:val="0"/>
          <w:sz w:val="22"/>
          <w:szCs w:val="22"/>
          <w:highlight w:val="none"/>
        </w:rPr>
        <w:t>。</w:t>
      </w:r>
    </w:p>
    <w:p>
      <w:pPr>
        <w:widowControl/>
        <w:spacing w:before="60" w:after="60" w:line="360" w:lineRule="exact"/>
        <w:ind w:left="60" w:leftChars="0" w:right="60" w:firstLine="360" w:firstLineChars="163"/>
        <w:jc w:val="left"/>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户名：温州元信工程项目管理有限公司</w:t>
      </w:r>
    </w:p>
    <w:p>
      <w:pPr>
        <w:widowControl/>
        <w:spacing w:before="60" w:after="60" w:line="360" w:lineRule="exact"/>
        <w:ind w:left="60" w:leftChars="0" w:right="60" w:firstLine="360" w:firstLineChars="163"/>
        <w:jc w:val="left"/>
        <w:rPr>
          <w:rFonts w:hint="eastAsia" w:ascii="宋体" w:hAnsi="宋体" w:eastAsia="宋体" w:cs="宋体"/>
          <w:b/>
          <w:bCs/>
          <w:color w:val="auto"/>
          <w:kern w:val="0"/>
          <w:sz w:val="22"/>
          <w:szCs w:val="22"/>
          <w:highlight w:val="none"/>
          <w:lang w:eastAsia="zh-CN"/>
        </w:rPr>
      </w:pPr>
      <w:r>
        <w:rPr>
          <w:rFonts w:hint="eastAsia" w:ascii="宋体" w:hAnsi="宋体" w:cs="宋体"/>
          <w:b/>
          <w:bCs/>
          <w:color w:val="auto"/>
          <w:kern w:val="0"/>
          <w:sz w:val="22"/>
          <w:szCs w:val="22"/>
          <w:highlight w:val="none"/>
        </w:rPr>
        <w:t>账号：</w:t>
      </w:r>
      <w:r>
        <w:rPr>
          <w:rFonts w:hint="eastAsia" w:ascii="宋体" w:hAnsi="宋体" w:cs="宋体"/>
          <w:b/>
          <w:bCs/>
          <w:color w:val="auto"/>
          <w:kern w:val="0"/>
          <w:sz w:val="22"/>
          <w:szCs w:val="22"/>
          <w:highlight w:val="none"/>
          <w:lang w:eastAsia="zh-CN"/>
        </w:rPr>
        <w:t>6232593499186768842</w:t>
      </w:r>
    </w:p>
    <w:p>
      <w:pPr>
        <w:widowControl/>
        <w:spacing w:before="60" w:after="60" w:line="360" w:lineRule="exact"/>
        <w:ind w:left="60" w:leftChars="0" w:right="60" w:firstLine="360" w:firstLineChars="163"/>
        <w:jc w:val="left"/>
        <w:rPr>
          <w:rFonts w:hint="eastAsia"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开户行：广发银行股份有限公司温州分行</w:t>
      </w:r>
    </w:p>
    <w:p>
      <w:pPr>
        <w:widowControl/>
        <w:spacing w:before="60" w:after="60" w:line="360" w:lineRule="exact"/>
        <w:ind w:left="60" w:right="60"/>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八、其他事项：</w:t>
      </w:r>
    </w:p>
    <w:p>
      <w:pPr>
        <w:widowControl/>
        <w:numPr>
          <w:ilvl w:val="0"/>
          <w:numId w:val="2"/>
        </w:numPr>
        <w:spacing w:before="60" w:after="60" w:line="380" w:lineRule="exact"/>
        <w:ind w:right="62"/>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购买采购文件时须提交的文件资料：</w:t>
      </w:r>
    </w:p>
    <w:p>
      <w:pPr>
        <w:widowControl/>
        <w:numPr>
          <w:ilvl w:val="0"/>
          <w:numId w:val="3"/>
        </w:numPr>
        <w:spacing w:before="60" w:after="60" w:line="380" w:lineRule="exact"/>
        <w:ind w:right="62" w:firstLine="142"/>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法定代表授权书或投标单位介绍信；</w:t>
      </w:r>
    </w:p>
    <w:p>
      <w:pPr>
        <w:widowControl/>
        <w:numPr>
          <w:ilvl w:val="0"/>
          <w:numId w:val="3"/>
        </w:numPr>
        <w:spacing w:before="60" w:after="60" w:line="380" w:lineRule="exact"/>
        <w:ind w:right="62" w:firstLine="142"/>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企业法人营业执照副本；</w:t>
      </w:r>
    </w:p>
    <w:p>
      <w:pPr>
        <w:widowControl/>
        <w:numPr>
          <w:ilvl w:val="0"/>
          <w:numId w:val="3"/>
        </w:numPr>
        <w:spacing w:before="60" w:after="60" w:line="380" w:lineRule="exact"/>
        <w:ind w:right="62" w:firstLine="142"/>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投标人认为需要提供的其他资料。</w:t>
      </w:r>
    </w:p>
    <w:p>
      <w:pPr>
        <w:widowControl/>
        <w:spacing w:before="60" w:after="60" w:line="380" w:lineRule="exact"/>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以上资料若为复印件，须加盖投标人公章。</w:t>
      </w:r>
    </w:p>
    <w:p>
      <w:pPr>
        <w:widowControl/>
        <w:spacing w:before="60" w:after="60" w:line="380" w:lineRule="exact"/>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2、</w:t>
      </w:r>
      <w:r>
        <w:rPr>
          <w:rFonts w:hint="eastAsia" w:ascii="宋体" w:hAnsi="宋体" w:cs="宋体"/>
          <w:color w:val="auto"/>
          <w:kern w:val="0"/>
          <w:sz w:val="22"/>
          <w:szCs w:val="22"/>
          <w:highlight w:val="none"/>
        </w:rPr>
        <w:t>潜在投标人可在浙江政府采购网（</w:t>
      </w:r>
      <w:r>
        <w:rPr>
          <w:rFonts w:hint="eastAsia" w:ascii="宋体" w:hAnsi="宋体" w:cs="宋体"/>
          <w:color w:val="auto"/>
          <w:kern w:val="0"/>
          <w:szCs w:val="21"/>
          <w:highlight w:val="none"/>
        </w:rPr>
        <w:t>https://www.zcygov.cn/</w:t>
      </w:r>
      <w:r>
        <w:rPr>
          <w:rFonts w:hint="eastAsia" w:ascii="宋体" w:hAnsi="宋体" w:cs="宋体"/>
          <w:color w:val="auto"/>
          <w:kern w:val="0"/>
          <w:sz w:val="22"/>
          <w:szCs w:val="22"/>
          <w:highlight w:val="none"/>
        </w:rPr>
        <w:t>）进行免费注册，具体详见浙江政府采购网投标人注册要求，中标人应在合同签订前完成注册并成为正式注册投标人。</w:t>
      </w:r>
    </w:p>
    <w:p>
      <w:pPr>
        <w:widowControl/>
        <w:spacing w:before="60" w:after="60" w:line="380" w:lineRule="exact"/>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u w:val="single"/>
        </w:rPr>
        <w:t>3、本项目公告期限为5个工作日。</w:t>
      </w:r>
      <w:r>
        <w:rPr>
          <w:rFonts w:hint="eastAsia" w:ascii="宋体" w:hAnsi="宋体" w:cs="宋体"/>
          <w:color w:val="auto"/>
          <w:kern w:val="0"/>
          <w:sz w:val="22"/>
          <w:szCs w:val="22"/>
          <w:highlight w:val="none"/>
          <w:u w:val="single"/>
        </w:rPr>
        <w:t>投标人认为采购文件使自己的权益受到损害的，可以自收到采购文件之日（发售截止日之后收到采购文件的，以发售截止日为准）或者采购文件公告期限届满之日（采购公告为公告发布后至第6个工作日）起7个工作日内，以书面形式向采购人和采购代理机构提出质疑。质疑投标人对采购人、采购代理机构的答复不满意或者采购人、采购代理机构未在规定的时间内作出答复的，可以在答复期满后十五个工作日内向采购人的采购监管部门投诉。</w:t>
      </w:r>
    </w:p>
    <w:p>
      <w:pPr>
        <w:widowControl/>
        <w:spacing w:before="60" w:after="60" w:line="380" w:lineRule="exact"/>
        <w:ind w:left="62" w:right="62" w:firstLine="440" w:firstLineChars="200"/>
        <w:jc w:val="left"/>
        <w:rPr>
          <w:rFonts w:ascii="宋体" w:hAnsi="宋体" w:cs="宋体"/>
          <w:bCs/>
          <w:color w:val="auto"/>
          <w:kern w:val="0"/>
          <w:sz w:val="22"/>
          <w:szCs w:val="22"/>
          <w:highlight w:val="none"/>
          <w:u w:val="single"/>
        </w:rPr>
      </w:pPr>
      <w:r>
        <w:rPr>
          <w:rFonts w:hint="eastAsia" w:ascii="宋体" w:hAnsi="宋体" w:cs="宋体"/>
          <w:bCs/>
          <w:color w:val="auto"/>
          <w:kern w:val="0"/>
          <w:sz w:val="22"/>
          <w:szCs w:val="22"/>
          <w:highlight w:val="none"/>
        </w:rPr>
        <w:t>4、</w:t>
      </w:r>
      <w:r>
        <w:rPr>
          <w:rFonts w:hint="eastAsia" w:ascii="宋体" w:hAnsi="宋体" w:cs="宋体"/>
          <w:bCs/>
          <w:color w:val="auto"/>
          <w:kern w:val="0"/>
          <w:sz w:val="22"/>
          <w:szCs w:val="22"/>
          <w:highlight w:val="none"/>
          <w:u w:val="single"/>
        </w:rPr>
        <w:t>浙江东方职业技术学院负责对投标人反映的企业本部及所属企业在采购活动中出现的违法违规问题进行答疑回复。投标人认为浙江东方职业技术学院答疑回复处理结果不合法的，可以采购人或代理机构为对象依法向人民法院提起诉讼。</w:t>
      </w:r>
    </w:p>
    <w:p>
      <w:pPr>
        <w:widowControl/>
        <w:spacing w:before="60" w:after="60" w:line="380" w:lineRule="exact"/>
        <w:ind w:left="62" w:right="62"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5、书面质疑受理地点：</w:t>
      </w:r>
      <w:r>
        <w:rPr>
          <w:rFonts w:hint="eastAsia" w:ascii="宋体" w:hAnsi="宋体" w:cs="宋体"/>
          <w:color w:val="auto"/>
          <w:kern w:val="0"/>
          <w:sz w:val="22"/>
          <w:szCs w:val="22"/>
          <w:highlight w:val="none"/>
        </w:rPr>
        <w:t>温州市新桥街道牛山广场3号楼1905室</w:t>
      </w:r>
      <w:r>
        <w:rPr>
          <w:rFonts w:hint="eastAsia" w:ascii="宋体" w:hAnsi="宋体" w:cs="宋体"/>
          <w:bCs/>
          <w:color w:val="auto"/>
          <w:kern w:val="0"/>
          <w:sz w:val="22"/>
          <w:szCs w:val="22"/>
          <w:highlight w:val="none"/>
        </w:rPr>
        <w:t>，联系人：胡先生，联系电话：15858758581。</w:t>
      </w:r>
    </w:p>
    <w:p>
      <w:pPr>
        <w:widowControl/>
        <w:spacing w:before="60" w:after="60" w:line="380" w:lineRule="exact"/>
        <w:ind w:left="60" w:right="60"/>
        <w:jc w:val="left"/>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九、联系方式</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采购人名称：浙江东方职业技术学院</w:t>
      </w:r>
    </w:p>
    <w:p>
      <w:pPr>
        <w:tabs>
          <w:tab w:val="left" w:pos="3690"/>
        </w:tabs>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电话：</w:t>
      </w:r>
      <w:r>
        <w:rPr>
          <w:rFonts w:hint="eastAsia" w:ascii="宋体" w:hAnsi="宋体" w:cs="宋体"/>
          <w:bCs/>
          <w:color w:val="auto"/>
          <w:kern w:val="0"/>
          <w:sz w:val="22"/>
          <w:szCs w:val="22"/>
          <w:highlight w:val="none"/>
        </w:rPr>
        <w:t>0577-86561078</w:t>
      </w:r>
    </w:p>
    <w:p>
      <w:pPr>
        <w:widowControl/>
        <w:spacing w:before="60" w:after="60" w:line="380" w:lineRule="exact"/>
        <w:ind w:right="60" w:firstLine="440" w:firstLineChars="200"/>
        <w:jc w:val="left"/>
        <w:rPr>
          <w:rFonts w:ascii="宋体" w:hAnsi="宋体" w:cs="宋体"/>
          <w:color w:val="auto"/>
          <w:sz w:val="22"/>
          <w:szCs w:val="22"/>
          <w:highlight w:val="none"/>
        </w:rPr>
      </w:pPr>
      <w:r>
        <w:rPr>
          <w:rFonts w:hint="eastAsia" w:ascii="宋体" w:hAnsi="宋体" w:cs="宋体"/>
          <w:color w:val="auto"/>
          <w:sz w:val="22"/>
          <w:szCs w:val="22"/>
          <w:highlight w:val="none"/>
        </w:rPr>
        <w:t>联系人：张老师</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采购代理机构：温州元信工程项目管理有限公司</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地址：温州市新桥街道牛山广场3号楼1905室</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联系人：陈先生、吴先生</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电话：18367896522、15158572233、0577-88557963</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传真：0577-88557963</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采购监督管理部门：浙江东方职业技术学院</w:t>
      </w:r>
      <w:r>
        <w:rPr>
          <w:rFonts w:hint="eastAsia" w:ascii="宋体" w:hAnsi="宋体" w:cs="宋体"/>
          <w:color w:val="auto"/>
          <w:sz w:val="22"/>
          <w:szCs w:val="22"/>
          <w:highlight w:val="none"/>
        </w:rPr>
        <w:t>纪检</w:t>
      </w:r>
      <w:r>
        <w:rPr>
          <w:rFonts w:hint="eastAsia" w:ascii="宋体" w:hAnsi="宋体" w:cs="宋体"/>
          <w:bCs/>
          <w:color w:val="auto"/>
          <w:kern w:val="0"/>
          <w:sz w:val="22"/>
          <w:szCs w:val="22"/>
          <w:highlight w:val="none"/>
        </w:rPr>
        <w:t>室</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联系人：陈老师</w:t>
      </w:r>
    </w:p>
    <w:p>
      <w:pPr>
        <w:widowControl/>
        <w:spacing w:before="60" w:after="60" w:line="380" w:lineRule="exact"/>
        <w:ind w:right="60" w:firstLine="440" w:firstLineChars="200"/>
        <w:jc w:val="left"/>
        <w:rPr>
          <w:rFonts w:ascii="宋体" w:hAnsi="宋体" w:cs="宋体"/>
          <w:bCs/>
          <w:color w:val="auto"/>
          <w:kern w:val="0"/>
          <w:sz w:val="22"/>
          <w:szCs w:val="22"/>
          <w:highlight w:val="none"/>
        </w:rPr>
      </w:pPr>
      <w:r>
        <w:rPr>
          <w:rFonts w:hint="eastAsia" w:ascii="宋体" w:hAnsi="宋体" w:cs="宋体"/>
          <w:bCs/>
          <w:color w:val="auto"/>
          <w:kern w:val="0"/>
          <w:sz w:val="22"/>
          <w:szCs w:val="22"/>
          <w:highlight w:val="none"/>
        </w:rPr>
        <w:t>电话：0577-86611305</w:t>
      </w:r>
    </w:p>
    <w:p>
      <w:pPr>
        <w:widowControl/>
        <w:jc w:val="left"/>
        <w:rPr>
          <w:rFonts w:ascii="宋体" w:hAnsi="宋体" w:cs="宋体"/>
          <w:color w:val="auto"/>
          <w:kern w:val="0"/>
          <w:sz w:val="20"/>
          <w:szCs w:val="20"/>
          <w:highlight w:val="none"/>
        </w:rPr>
      </w:pPr>
    </w:p>
    <w:p>
      <w:pPr>
        <w:pStyle w:val="17"/>
        <w:ind w:firstLine="210"/>
        <w:rPr>
          <w:rFonts w:ascii="宋体" w:hAnsi="宋体" w:cs="宋体"/>
          <w:color w:val="auto"/>
          <w:highlight w:val="none"/>
        </w:rPr>
      </w:pPr>
    </w:p>
    <w:p>
      <w:pPr>
        <w:widowControl/>
        <w:jc w:val="left"/>
        <w:rPr>
          <w:rFonts w:ascii="宋体" w:hAnsi="宋体" w:cs="宋体"/>
          <w:color w:val="auto"/>
          <w:kern w:val="0"/>
          <w:sz w:val="20"/>
          <w:szCs w:val="20"/>
          <w:highlight w:val="none"/>
        </w:rPr>
      </w:pPr>
    </w:p>
    <w:p>
      <w:pPr>
        <w:pStyle w:val="17"/>
        <w:ind w:firstLine="210"/>
        <w:rPr>
          <w:rFonts w:ascii="宋体" w:hAnsi="宋体" w:cs="宋体"/>
          <w:color w:val="auto"/>
          <w:highlight w:val="none"/>
        </w:rPr>
      </w:pPr>
    </w:p>
    <w:p>
      <w:pPr>
        <w:pStyle w:val="17"/>
        <w:ind w:firstLine="0" w:firstLineChars="0"/>
        <w:rPr>
          <w:rFonts w:ascii="宋体" w:hAnsi="宋体" w:cs="宋体"/>
          <w:color w:val="auto"/>
          <w:highlight w:val="none"/>
        </w:rPr>
      </w:pPr>
    </w:p>
    <w:p>
      <w:pPr>
        <w:widowControl/>
        <w:jc w:val="left"/>
        <w:rPr>
          <w:rFonts w:ascii="宋体" w:hAnsi="宋体" w:cs="宋体"/>
          <w:color w:val="auto"/>
          <w:kern w:val="0"/>
          <w:sz w:val="20"/>
          <w:szCs w:val="20"/>
          <w:highlight w:val="none"/>
        </w:rPr>
      </w:pPr>
    </w:p>
    <w:p>
      <w:pPr>
        <w:spacing w:line="360" w:lineRule="auto"/>
        <w:ind w:firstLine="5528" w:firstLineChars="2513"/>
        <w:jc w:val="right"/>
        <w:rPr>
          <w:rFonts w:ascii="宋体" w:hAnsi="宋体" w:cs="宋体"/>
          <w:color w:val="auto"/>
          <w:sz w:val="22"/>
          <w:szCs w:val="22"/>
          <w:highlight w:val="none"/>
        </w:rPr>
      </w:pPr>
      <w:r>
        <w:rPr>
          <w:rFonts w:hint="eastAsia" w:ascii="宋体" w:hAnsi="宋体" w:cs="宋体"/>
          <w:color w:val="auto"/>
          <w:sz w:val="22"/>
          <w:szCs w:val="22"/>
          <w:highlight w:val="none"/>
        </w:rPr>
        <w:t>浙江东方职业技术学院</w:t>
      </w:r>
    </w:p>
    <w:p>
      <w:pPr>
        <w:spacing w:line="360" w:lineRule="auto"/>
        <w:ind w:firstLine="5528" w:firstLineChars="2513"/>
        <w:jc w:val="right"/>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w:t>
      </w:r>
    </w:p>
    <w:p>
      <w:pPr>
        <w:spacing w:line="360" w:lineRule="auto"/>
        <w:ind w:firstLine="6718" w:firstLineChars="3054"/>
        <w:jc w:val="right"/>
        <w:rPr>
          <w:rFonts w:ascii="宋体" w:hAnsi="宋体" w:cs="宋体"/>
          <w:color w:val="auto"/>
          <w:highlight w:val="none"/>
        </w:rPr>
      </w:pPr>
      <w:r>
        <w:rPr>
          <w:rFonts w:hint="eastAsia" w:ascii="宋体" w:hAnsi="宋体" w:cs="宋体"/>
          <w:color w:val="auto"/>
          <w:sz w:val="22"/>
          <w:szCs w:val="22"/>
          <w:highlight w:val="none"/>
        </w:rPr>
        <w:t>2024年</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24</w:t>
      </w:r>
      <w:r>
        <w:rPr>
          <w:rFonts w:hint="eastAsia" w:ascii="宋体" w:hAnsi="宋体" w:cs="宋体"/>
          <w:color w:val="auto"/>
          <w:sz w:val="22"/>
          <w:szCs w:val="22"/>
          <w:highlight w:val="none"/>
        </w:rPr>
        <w:t>日</w:t>
      </w:r>
    </w:p>
    <w:p>
      <w:pPr>
        <w:widowControl/>
        <w:spacing w:before="60" w:after="60" w:line="380" w:lineRule="exact"/>
        <w:ind w:left="61" w:leftChars="29" w:right="60" w:firstLine="442" w:firstLineChars="200"/>
        <w:jc w:val="left"/>
        <w:rPr>
          <w:rFonts w:ascii="宋体" w:hAnsi="宋体" w:cs="宋体"/>
          <w:b/>
          <w:bCs/>
          <w:color w:val="auto"/>
          <w:sz w:val="22"/>
          <w:szCs w:val="22"/>
          <w:highlight w:val="none"/>
        </w:rPr>
      </w:pPr>
      <w:r>
        <w:rPr>
          <w:rFonts w:hint="eastAsia" w:ascii="宋体" w:hAnsi="宋体" w:cs="宋体"/>
          <w:b/>
          <w:bCs/>
          <w:color w:val="auto"/>
          <w:sz w:val="22"/>
          <w:szCs w:val="22"/>
          <w:highlight w:val="none"/>
        </w:rPr>
        <w:br w:type="page"/>
      </w:r>
    </w:p>
    <w:p>
      <w:pPr>
        <w:jc w:val="center"/>
        <w:rPr>
          <w:rFonts w:ascii="宋体" w:hAnsi="宋体" w:cs="宋体"/>
          <w:b/>
          <w:bCs/>
          <w:color w:val="auto"/>
          <w:sz w:val="22"/>
          <w:szCs w:val="22"/>
          <w:highlight w:val="none"/>
        </w:rPr>
      </w:pPr>
    </w:p>
    <w:p>
      <w:pPr>
        <w:jc w:val="center"/>
        <w:rPr>
          <w:rFonts w:ascii="宋体" w:hAnsi="宋体" w:cs="宋体"/>
          <w:b/>
          <w:color w:val="auto"/>
          <w:kern w:val="0"/>
          <w:sz w:val="24"/>
          <w:highlight w:val="none"/>
        </w:rPr>
      </w:pPr>
      <w:r>
        <w:rPr>
          <w:rFonts w:hint="eastAsia" w:ascii="宋体" w:hAnsi="宋体" w:cs="宋体"/>
          <w:b/>
          <w:color w:val="auto"/>
          <w:kern w:val="0"/>
          <w:sz w:val="24"/>
          <w:highlight w:val="none"/>
        </w:rPr>
        <w:t>温州市现代集团所属浙江东方职业技术学院关于</w:t>
      </w:r>
      <w:r>
        <w:rPr>
          <w:rFonts w:hint="eastAsia" w:ascii="宋体" w:hAnsi="宋体" w:cs="宋体"/>
          <w:b/>
          <w:color w:val="auto"/>
          <w:kern w:val="0"/>
          <w:sz w:val="24"/>
          <w:highlight w:val="none"/>
          <w:lang w:eastAsia="zh-CN"/>
        </w:rPr>
        <w:t>教育部职业院校中台数据对接服务项目</w:t>
      </w:r>
      <w:r>
        <w:rPr>
          <w:rFonts w:hint="eastAsia" w:ascii="宋体" w:hAnsi="宋体" w:cs="宋体"/>
          <w:b/>
          <w:color w:val="auto"/>
          <w:kern w:val="0"/>
          <w:sz w:val="24"/>
          <w:highlight w:val="none"/>
        </w:rPr>
        <w:t>（自主）的征求意见公示</w:t>
      </w:r>
    </w:p>
    <w:p>
      <w:pPr>
        <w:pStyle w:val="17"/>
        <w:ind w:firstLine="210"/>
        <w:rPr>
          <w:rFonts w:ascii="宋体" w:hAnsi="宋体" w:cs="宋体"/>
          <w:color w:val="auto"/>
          <w:highlight w:val="none"/>
        </w:rPr>
      </w:pPr>
    </w:p>
    <w:p>
      <w:pPr>
        <w:spacing w:line="360" w:lineRule="auto"/>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温州元信工程项目管理有限公司将于近期就浙江东方职业技术学院所需</w:t>
      </w:r>
      <w:r>
        <w:rPr>
          <w:rFonts w:hint="eastAsia" w:ascii="宋体" w:hAnsi="宋体" w:cs="宋体"/>
          <w:color w:val="auto"/>
          <w:sz w:val="22"/>
          <w:szCs w:val="22"/>
          <w:highlight w:val="none"/>
          <w:lang w:eastAsia="zh-CN"/>
        </w:rPr>
        <w:t>教育部职业院校中台数据对接服务项目</w:t>
      </w:r>
      <w:r>
        <w:rPr>
          <w:rFonts w:hint="eastAsia" w:ascii="宋体" w:hAnsi="宋体" w:cs="宋体"/>
          <w:color w:val="auto"/>
          <w:sz w:val="22"/>
          <w:szCs w:val="22"/>
          <w:highlight w:val="none"/>
        </w:rPr>
        <w:t xml:space="preserve">进行公开招标。现将采购文件公布如下，并公开征求投标人及专家意见。 </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一、征求意见范围：</w:t>
      </w:r>
    </w:p>
    <w:p>
      <w:pPr>
        <w:spacing w:line="360" w:lineRule="auto"/>
        <w:ind w:left="645"/>
        <w:rPr>
          <w:rFonts w:ascii="宋体" w:hAnsi="宋体" w:cs="宋体"/>
          <w:color w:val="auto"/>
          <w:sz w:val="22"/>
          <w:szCs w:val="22"/>
          <w:highlight w:val="none"/>
        </w:rPr>
      </w:pPr>
      <w:r>
        <w:rPr>
          <w:rFonts w:hint="eastAsia" w:ascii="宋体" w:hAnsi="宋体" w:cs="宋体"/>
          <w:color w:val="auto"/>
          <w:sz w:val="22"/>
          <w:szCs w:val="22"/>
          <w:highlight w:val="none"/>
        </w:rPr>
        <w:t>1、是否出现明显的倾向性意见和特定的性能指标；</w:t>
      </w:r>
    </w:p>
    <w:p>
      <w:pPr>
        <w:spacing w:line="360" w:lineRule="auto"/>
        <w:ind w:left="645"/>
        <w:rPr>
          <w:rFonts w:ascii="宋体" w:hAnsi="宋体" w:cs="宋体"/>
          <w:color w:val="auto"/>
          <w:sz w:val="22"/>
          <w:szCs w:val="22"/>
          <w:highlight w:val="none"/>
        </w:rPr>
      </w:pPr>
      <w:r>
        <w:rPr>
          <w:rFonts w:hint="eastAsia" w:ascii="宋体" w:hAnsi="宋体" w:cs="宋体"/>
          <w:color w:val="auto"/>
          <w:sz w:val="22"/>
          <w:szCs w:val="22"/>
          <w:highlight w:val="none"/>
        </w:rPr>
        <w:t>2、投标人资格条件是否具有明显倾向性和歧视性；</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3、影响国企采购“公开、公平、公正”原则的其他情况。</w:t>
      </w:r>
    </w:p>
    <w:p>
      <w:pPr>
        <w:spacing w:line="360" w:lineRule="auto"/>
        <w:rPr>
          <w:rFonts w:ascii="宋体" w:hAnsi="宋体" w:cs="宋体"/>
          <w:color w:val="auto"/>
          <w:sz w:val="22"/>
          <w:szCs w:val="22"/>
          <w:highlight w:val="none"/>
        </w:rPr>
      </w:pPr>
      <w:r>
        <w:rPr>
          <w:rFonts w:hint="eastAsia" w:ascii="宋体" w:hAnsi="宋体" w:cs="宋体"/>
          <w:color w:val="auto"/>
          <w:sz w:val="22"/>
          <w:szCs w:val="22"/>
          <w:highlight w:val="none"/>
        </w:rPr>
        <w:t>   二、征求意见的回复：</w:t>
      </w:r>
    </w:p>
    <w:p>
      <w:pPr>
        <w:spacing w:line="360" w:lineRule="auto"/>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各投标人及专家提出修改理由和建议的，请于2024年</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28</w:t>
      </w:r>
      <w:r>
        <w:rPr>
          <w:rFonts w:hint="eastAsia" w:ascii="宋体" w:hAnsi="宋体" w:cs="宋体"/>
          <w:color w:val="auto"/>
          <w:sz w:val="22"/>
          <w:szCs w:val="22"/>
          <w:highlight w:val="none"/>
        </w:rPr>
        <w:t>日下午17 :00前（节假日除外）将书面材料签字（盖章）并密封后送至温州市新桥街道牛山广场3号楼1905室，外地可传真送达，传真：0577-88557963 ，传真件必须签字（盖章）。同时将电子文档发送至以下信箱：Yxgc666@126.com。</w:t>
      </w:r>
    </w:p>
    <w:p>
      <w:pPr>
        <w:spacing w:line="360" w:lineRule="auto"/>
        <w:ind w:firstLine="550" w:firstLineChars="250"/>
        <w:rPr>
          <w:rFonts w:ascii="宋体" w:hAnsi="宋体" w:cs="宋体"/>
          <w:color w:val="auto"/>
          <w:sz w:val="22"/>
          <w:szCs w:val="22"/>
          <w:highlight w:val="none"/>
        </w:rPr>
      </w:pPr>
      <w:r>
        <w:rPr>
          <w:rFonts w:hint="eastAsia" w:ascii="宋体" w:hAnsi="宋体" w:cs="宋体"/>
          <w:color w:val="auto"/>
          <w:sz w:val="22"/>
          <w:szCs w:val="22"/>
          <w:highlight w:val="none"/>
        </w:rPr>
        <w:t>联系人：吴先生  电话：0577-88557963、15158572233。对逾期送达的意见、建议书恕不接受。</w:t>
      </w:r>
    </w:p>
    <w:p>
      <w:pPr>
        <w:spacing w:line="360" w:lineRule="auto"/>
        <w:ind w:firstLine="440" w:firstLineChars="200"/>
        <w:jc w:val="right"/>
        <w:rPr>
          <w:rFonts w:ascii="宋体" w:hAnsi="宋体" w:cs="宋体"/>
          <w:color w:val="auto"/>
          <w:sz w:val="22"/>
          <w:szCs w:val="22"/>
          <w:highlight w:val="none"/>
        </w:rPr>
      </w:pPr>
    </w:p>
    <w:p>
      <w:pPr>
        <w:spacing w:line="360" w:lineRule="auto"/>
        <w:ind w:firstLine="5528" w:firstLineChars="2513"/>
        <w:jc w:val="center"/>
        <w:rPr>
          <w:rFonts w:ascii="宋体" w:hAnsi="宋体" w:cs="宋体"/>
          <w:color w:val="auto"/>
          <w:sz w:val="22"/>
          <w:szCs w:val="22"/>
          <w:highlight w:val="none"/>
        </w:rPr>
      </w:pPr>
      <w:r>
        <w:rPr>
          <w:rFonts w:hint="eastAsia" w:ascii="宋体" w:hAnsi="宋体" w:cs="宋体"/>
          <w:color w:val="auto"/>
          <w:sz w:val="22"/>
          <w:szCs w:val="22"/>
          <w:highlight w:val="none"/>
        </w:rPr>
        <w:t>浙江东方职业技术学院</w:t>
      </w:r>
    </w:p>
    <w:p>
      <w:pPr>
        <w:spacing w:line="360" w:lineRule="auto"/>
        <w:ind w:firstLine="5528" w:firstLineChars="2513"/>
        <w:jc w:val="center"/>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w:t>
      </w:r>
    </w:p>
    <w:p>
      <w:pPr>
        <w:spacing w:line="360" w:lineRule="auto"/>
        <w:ind w:firstLine="5528" w:firstLineChars="2513"/>
        <w:jc w:val="center"/>
        <w:rPr>
          <w:rFonts w:ascii="宋体" w:hAnsi="宋体" w:cs="宋体"/>
          <w:b/>
          <w:bCs/>
          <w:color w:val="auto"/>
          <w:kern w:val="0"/>
          <w:sz w:val="28"/>
          <w:szCs w:val="28"/>
          <w:highlight w:val="none"/>
        </w:rPr>
      </w:pPr>
      <w:r>
        <w:rPr>
          <w:rFonts w:hint="eastAsia" w:ascii="宋体" w:hAnsi="宋体" w:cs="宋体"/>
          <w:color w:val="auto"/>
          <w:sz w:val="22"/>
          <w:szCs w:val="22"/>
          <w:highlight w:val="none"/>
        </w:rPr>
        <w:t>2024年</w:t>
      </w:r>
      <w:r>
        <w:rPr>
          <w:rFonts w:hint="eastAsia" w:ascii="宋体" w:hAnsi="宋体" w:cs="宋体"/>
          <w:color w:val="auto"/>
          <w:sz w:val="22"/>
          <w:szCs w:val="22"/>
          <w:highlight w:val="none"/>
          <w:lang w:val="en-US" w:eastAsia="zh-CN"/>
        </w:rPr>
        <w:t>4</w:t>
      </w:r>
      <w:r>
        <w:rPr>
          <w:rFonts w:hint="eastAsia" w:ascii="宋体" w:hAnsi="宋体" w:cs="宋体"/>
          <w:color w:val="auto"/>
          <w:sz w:val="22"/>
          <w:szCs w:val="22"/>
          <w:highlight w:val="none"/>
        </w:rPr>
        <w:t>月</w:t>
      </w:r>
      <w:r>
        <w:rPr>
          <w:rFonts w:hint="eastAsia" w:ascii="宋体" w:hAnsi="宋体" w:cs="宋体"/>
          <w:color w:val="auto"/>
          <w:sz w:val="22"/>
          <w:szCs w:val="22"/>
          <w:highlight w:val="none"/>
          <w:lang w:val="en-US" w:eastAsia="zh-CN"/>
        </w:rPr>
        <w:t>24</w:t>
      </w:r>
      <w:r>
        <w:rPr>
          <w:rFonts w:hint="eastAsia" w:ascii="宋体" w:hAnsi="宋体" w:cs="宋体"/>
          <w:color w:val="auto"/>
          <w:sz w:val="22"/>
          <w:szCs w:val="22"/>
          <w:highlight w:val="none"/>
        </w:rPr>
        <w:t>日</w:t>
      </w:r>
    </w:p>
    <w:p>
      <w:pPr>
        <w:spacing w:line="380" w:lineRule="exact"/>
        <w:ind w:right="720"/>
        <w:rPr>
          <w:rFonts w:ascii="宋体" w:hAnsi="宋体" w:cs="宋体"/>
          <w:color w:val="auto"/>
          <w:sz w:val="22"/>
          <w:szCs w:val="22"/>
          <w:highlight w:val="none"/>
        </w:rPr>
      </w:pPr>
    </w:p>
    <w:p>
      <w:pPr>
        <w:widowControl/>
        <w:jc w:val="left"/>
        <w:rPr>
          <w:rFonts w:ascii="宋体" w:hAnsi="宋体" w:cs="宋体"/>
          <w:color w:val="auto"/>
          <w:highlight w:val="none"/>
        </w:rPr>
      </w:pPr>
    </w:p>
    <w:p>
      <w:pPr>
        <w:widowControl/>
        <w:jc w:val="left"/>
        <w:rPr>
          <w:rFonts w:ascii="宋体" w:hAnsi="宋体" w:cs="宋体"/>
          <w:color w:val="auto"/>
          <w:sz w:val="22"/>
          <w:szCs w:val="22"/>
          <w:highlight w:val="none"/>
        </w:rPr>
      </w:pPr>
      <w:r>
        <w:rPr>
          <w:rFonts w:hint="eastAsia" w:ascii="宋体" w:hAnsi="宋体" w:cs="宋体"/>
          <w:color w:val="auto"/>
          <w:highlight w:val="none"/>
        </w:rPr>
        <w:br w:type="page"/>
      </w:r>
    </w:p>
    <w:p>
      <w:pPr>
        <w:pStyle w:val="4"/>
        <w:rPr>
          <w:rFonts w:ascii="宋体" w:hAnsi="宋体" w:eastAsia="宋体" w:cs="宋体"/>
          <w:color w:val="auto"/>
          <w:sz w:val="36"/>
          <w:szCs w:val="36"/>
          <w:highlight w:val="none"/>
        </w:rPr>
      </w:pPr>
      <w:bookmarkStart w:id="5" w:name="_Toc249758860"/>
      <w:bookmarkStart w:id="6" w:name="_Toc262105499"/>
      <w:bookmarkStart w:id="7" w:name="_Toc221423615"/>
      <w:bookmarkStart w:id="8" w:name="_Toc239145350"/>
      <w:bookmarkStart w:id="9" w:name="_Toc245191310"/>
      <w:bookmarkStart w:id="10" w:name="_Toc241404198"/>
      <w:bookmarkStart w:id="11" w:name="_Toc221374622"/>
      <w:bookmarkStart w:id="12" w:name="_Toc222114875"/>
      <w:bookmarkStart w:id="13" w:name="_Toc262049414"/>
      <w:bookmarkStart w:id="14" w:name="_Toc223715994"/>
      <w:bookmarkStart w:id="15" w:name="_Toc249758708"/>
      <w:bookmarkStart w:id="16" w:name="_Toc246261261"/>
      <w:bookmarkStart w:id="17" w:name="_Toc221356882"/>
      <w:bookmarkStart w:id="18" w:name="_Toc32285"/>
      <w:bookmarkStart w:id="19" w:name="_Toc221356947"/>
      <w:bookmarkStart w:id="20" w:name="_Toc245722277"/>
      <w:r>
        <w:rPr>
          <w:rFonts w:hint="eastAsia" w:ascii="宋体" w:hAnsi="宋体" w:eastAsia="宋体" w:cs="宋体"/>
          <w:color w:val="auto"/>
          <w:sz w:val="36"/>
          <w:szCs w:val="36"/>
          <w:highlight w:val="none"/>
        </w:rPr>
        <w:t>第一部分    投标人须知</w:t>
      </w:r>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bookmarkStart w:id="21" w:name="_Toc27051"/>
      <w:bookmarkStart w:id="22" w:name="_Toc4442"/>
      <w:bookmarkStart w:id="23" w:name="_Toc249758709"/>
      <w:bookmarkStart w:id="24" w:name="_Toc223715995"/>
      <w:bookmarkStart w:id="25" w:name="_Toc221423616"/>
      <w:bookmarkStart w:id="26" w:name="_Toc222114876"/>
      <w:bookmarkStart w:id="27" w:name="_Toc241404199"/>
      <w:bookmarkStart w:id="28" w:name="_Toc221356948"/>
      <w:bookmarkStart w:id="29" w:name="_Toc245191311"/>
      <w:bookmarkStart w:id="30" w:name="_Toc246261262"/>
      <w:bookmarkStart w:id="31" w:name="_Toc221374623"/>
      <w:bookmarkStart w:id="32" w:name="_Toc249758861"/>
      <w:bookmarkStart w:id="33" w:name="_Toc262049415"/>
      <w:bookmarkStart w:id="34" w:name="_Toc245722278"/>
      <w:bookmarkStart w:id="35" w:name="_Toc221356883"/>
      <w:bookmarkStart w:id="36" w:name="_Toc239145351"/>
      <w:bookmarkStart w:id="37" w:name="_Toc262105500"/>
      <w:r>
        <w:rPr>
          <w:rFonts w:hint="eastAsia" w:ascii="宋体" w:hAnsi="宋体" w:cs="宋体"/>
          <w:b/>
          <w:bCs/>
          <w:color w:val="auto"/>
          <w:sz w:val="26"/>
          <w:szCs w:val="26"/>
          <w:highlight w:val="none"/>
        </w:rPr>
        <w:t>投标人须知前附表</w:t>
      </w:r>
      <w:bookmarkEnd w:id="21"/>
      <w:bookmarkEnd w:id="22"/>
      <w:r>
        <w:rPr>
          <w:rFonts w:hint="eastAsia" w:ascii="宋体" w:hAnsi="宋体" w:cs="宋体"/>
          <w:b/>
          <w:bCs/>
          <w:color w:val="auto"/>
          <w:sz w:val="26"/>
          <w:szCs w:val="26"/>
          <w:highlight w:val="none"/>
        </w:rPr>
        <w:t xml:space="preserve">  </w:t>
      </w:r>
    </w:p>
    <w:tbl>
      <w:tblPr>
        <w:tblStyle w:val="35"/>
        <w:tblW w:w="4981" w:type="pct"/>
        <w:tblInd w:w="0" w:type="dxa"/>
        <w:tblLayout w:type="autofit"/>
        <w:tblCellMar>
          <w:top w:w="0" w:type="dxa"/>
          <w:left w:w="108" w:type="dxa"/>
          <w:bottom w:w="0" w:type="dxa"/>
          <w:right w:w="108" w:type="dxa"/>
        </w:tblCellMar>
      </w:tblPr>
      <w:tblGrid>
        <w:gridCol w:w="1039"/>
        <w:gridCol w:w="1465"/>
        <w:gridCol w:w="7313"/>
      </w:tblGrid>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序号</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条款名称</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编列内容</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采购人</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tabs>
                <w:tab w:val="left" w:pos="3690"/>
              </w:tabs>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采购人：浙江东方职业技术学院</w:t>
            </w:r>
          </w:p>
          <w:p>
            <w:pPr>
              <w:tabs>
                <w:tab w:val="left" w:pos="3690"/>
              </w:tabs>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电话：0577-86561078</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联系人：张女士</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采购代理机构</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采购代理机构名称：温州元信工程项目管理有限公司</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地 址：温州市新桥街道牛山广场3号楼1905室。</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联系人：陈先生、吴先生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联系电话：0577-88557963、18367896522、15158572233</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3</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采购名称</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采购项目：</w:t>
            </w:r>
            <w:r>
              <w:rPr>
                <w:rFonts w:hint="eastAsia" w:ascii="宋体" w:hAnsi="宋体" w:cs="宋体"/>
                <w:color w:val="auto"/>
                <w:sz w:val="22"/>
                <w:szCs w:val="22"/>
                <w:highlight w:val="none"/>
                <w:lang w:eastAsia="zh-CN"/>
              </w:rPr>
              <w:t>教育部职业院校中台数据对接服务</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采购编号：WGSS-XDJT-Z-2024016</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4</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采购内容</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具体内容及要求见采购文件。</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5</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u w:val="single"/>
                <w:lang w:val="zh-CN"/>
              </w:rPr>
              <w:t>▲</w:t>
            </w:r>
            <w:r>
              <w:rPr>
                <w:rFonts w:hint="eastAsia" w:ascii="宋体" w:hAnsi="宋体" w:cs="宋体"/>
                <w:b/>
                <w:bCs/>
                <w:color w:val="auto"/>
                <w:kern w:val="0"/>
                <w:sz w:val="22"/>
                <w:szCs w:val="22"/>
                <w:highlight w:val="none"/>
                <w:u w:val="single"/>
              </w:rPr>
              <w:t>投标人</w:t>
            </w:r>
            <w:r>
              <w:rPr>
                <w:rFonts w:hint="eastAsia" w:ascii="宋体" w:hAnsi="宋体" w:cs="宋体"/>
                <w:b/>
                <w:bCs/>
                <w:color w:val="auto"/>
                <w:kern w:val="0"/>
                <w:sz w:val="22"/>
                <w:szCs w:val="22"/>
                <w:highlight w:val="none"/>
                <w:u w:val="single"/>
                <w:lang w:val="zh-CN"/>
              </w:rPr>
              <w:t>资质格要求</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numPr>
                <w:ilvl w:val="0"/>
                <w:numId w:val="5"/>
              </w:num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基本条件：</w:t>
            </w:r>
          </w:p>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（1）符合《温州市市属国有企业采购管理办法（试行）》第十五条对投标人参加温州市国有企业采购活动应当具备的条件的要求；</w:t>
            </w:r>
          </w:p>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w:t>
            </w:r>
            <w:r>
              <w:rPr>
                <w:rFonts w:hint="eastAsia" w:ascii="宋体" w:hAnsi="宋体" w:cs="宋体"/>
                <w:color w:val="auto"/>
                <w:kern w:val="0"/>
                <w:sz w:val="22"/>
                <w:szCs w:val="22"/>
                <w:highlight w:val="none"/>
              </w:rPr>
              <w:t>2</w:t>
            </w:r>
            <w:r>
              <w:rPr>
                <w:rFonts w:hint="eastAsia" w:ascii="宋体" w:hAnsi="宋体" w:cs="宋体"/>
                <w:color w:val="auto"/>
                <w:kern w:val="0"/>
                <w:sz w:val="22"/>
                <w:szCs w:val="22"/>
                <w:highlight w:val="none"/>
                <w:lang w:val="zh-CN"/>
              </w:rPr>
              <w:t>）单位负责人为同一人或者存在直接控股、管理关系的不同投标人，不得参加同一合同项下的采购活动；</w:t>
            </w:r>
          </w:p>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（二）特定条件：</w:t>
            </w:r>
          </w:p>
          <w:p>
            <w:pPr>
              <w:autoSpaceDE w:val="0"/>
              <w:autoSpaceDN w:val="0"/>
              <w:adjustRightInd w:val="0"/>
              <w:spacing w:line="400" w:lineRule="exact"/>
              <w:ind w:right="-34"/>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（1）本项目不接受联合体投标。</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6</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是否接受联合体投标</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b/>
                <w:snapToGrid w:val="0"/>
                <w:color w:val="auto"/>
                <w:sz w:val="22"/>
                <w:szCs w:val="22"/>
                <w:highlight w:val="none"/>
              </w:rPr>
              <w:sym w:font="Times New Roman" w:char="0000"/>
            </w:r>
            <w:r>
              <w:rPr>
                <w:rFonts w:hint="eastAsia" w:ascii="宋体" w:hAnsi="宋体" w:cs="宋体"/>
                <w:color w:val="auto"/>
                <w:kern w:val="0"/>
                <w:sz w:val="22"/>
                <w:szCs w:val="22"/>
                <w:highlight w:val="none"/>
                <w:lang w:val="zh-CN"/>
              </w:rPr>
              <w:sym w:font="Wingdings 2" w:char="0052"/>
            </w:r>
            <w:r>
              <w:rPr>
                <w:rFonts w:hint="eastAsia" w:ascii="宋体" w:hAnsi="宋体" w:cs="宋体"/>
                <w:color w:val="auto"/>
                <w:kern w:val="0"/>
                <w:sz w:val="22"/>
                <w:szCs w:val="22"/>
                <w:highlight w:val="none"/>
                <w:lang w:val="zh-CN"/>
              </w:rPr>
              <w:t>不接受</w:t>
            </w:r>
            <w:r>
              <w:rPr>
                <w:rFonts w:hint="eastAsia" w:ascii="宋体" w:hAnsi="宋体" w:cs="宋体"/>
                <w:color w:val="auto"/>
                <w:kern w:val="0"/>
                <w:sz w:val="22"/>
                <w:szCs w:val="22"/>
                <w:highlight w:val="none"/>
              </w:rPr>
              <w:t xml:space="preserve">   </w:t>
            </w:r>
            <w:r>
              <w:rPr>
                <w:rFonts w:hint="eastAsia" w:ascii="宋体" w:hAnsi="宋体" w:cs="宋体"/>
                <w:color w:val="auto"/>
                <w:kern w:val="0"/>
                <w:sz w:val="22"/>
                <w:szCs w:val="22"/>
                <w:highlight w:val="none"/>
                <w:lang w:val="zh-CN"/>
              </w:rPr>
              <w:sym w:font="Wingdings 2" w:char="00A3"/>
            </w:r>
            <w:r>
              <w:rPr>
                <w:rFonts w:hint="eastAsia" w:ascii="宋体" w:hAnsi="宋体" w:cs="宋体"/>
                <w:color w:val="auto"/>
                <w:kern w:val="0"/>
                <w:sz w:val="22"/>
                <w:szCs w:val="22"/>
                <w:highlight w:val="none"/>
                <w:lang w:val="zh-CN"/>
              </w:rPr>
              <w:t>接受</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7</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踏勘现场</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□组织</w:t>
            </w:r>
            <w:r>
              <w:rPr>
                <w:rFonts w:hint="eastAsia" w:ascii="宋体" w:hAnsi="宋体" w:cs="宋体"/>
                <w:color w:val="auto"/>
                <w:kern w:val="0"/>
                <w:sz w:val="22"/>
                <w:szCs w:val="22"/>
                <w:highlight w:val="none"/>
              </w:rPr>
              <w:t xml:space="preserve">   </w:t>
            </w:r>
            <w:r>
              <w:rPr>
                <w:rFonts w:hint="eastAsia" w:ascii="宋体" w:hAnsi="宋体" w:cs="宋体"/>
                <w:b/>
                <w:snapToGrid w:val="0"/>
                <w:color w:val="auto"/>
                <w:sz w:val="22"/>
                <w:szCs w:val="22"/>
                <w:highlight w:val="none"/>
              </w:rPr>
              <w:sym w:font="Times New Roman" w:char="0000"/>
            </w:r>
            <w:r>
              <w:rPr>
                <w:rFonts w:hint="eastAsia" w:ascii="宋体" w:hAnsi="宋体" w:cs="宋体"/>
                <w:color w:val="auto"/>
                <w:kern w:val="0"/>
                <w:sz w:val="22"/>
                <w:szCs w:val="22"/>
                <w:highlight w:val="none"/>
                <w:lang w:val="zh-CN"/>
              </w:rPr>
              <w:sym w:font="Wingdings 2" w:char="0052"/>
            </w:r>
            <w:r>
              <w:rPr>
                <w:rFonts w:hint="eastAsia" w:ascii="宋体" w:hAnsi="宋体" w:cs="宋体"/>
                <w:color w:val="auto"/>
                <w:kern w:val="0"/>
                <w:sz w:val="22"/>
                <w:szCs w:val="22"/>
                <w:highlight w:val="none"/>
                <w:lang w:val="zh-CN"/>
              </w:rPr>
              <w:t>不组织</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8</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投标预备会</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□召开</w:t>
            </w:r>
            <w:r>
              <w:rPr>
                <w:rFonts w:hint="eastAsia" w:ascii="宋体" w:hAnsi="宋体" w:cs="宋体"/>
                <w:color w:val="auto"/>
                <w:kern w:val="0"/>
                <w:sz w:val="22"/>
                <w:szCs w:val="22"/>
                <w:highlight w:val="none"/>
              </w:rPr>
              <w:t xml:space="preserve">   </w:t>
            </w:r>
            <w:r>
              <w:rPr>
                <w:rFonts w:hint="eastAsia" w:ascii="宋体" w:hAnsi="宋体" w:cs="宋体"/>
                <w:b/>
                <w:snapToGrid w:val="0"/>
                <w:color w:val="auto"/>
                <w:sz w:val="22"/>
                <w:szCs w:val="22"/>
                <w:highlight w:val="none"/>
              </w:rPr>
              <w:sym w:font="Times New Roman" w:char="0000"/>
            </w:r>
            <w:r>
              <w:rPr>
                <w:rFonts w:hint="eastAsia" w:ascii="宋体" w:hAnsi="宋体" w:cs="宋体"/>
                <w:color w:val="auto"/>
                <w:kern w:val="0"/>
                <w:sz w:val="22"/>
                <w:szCs w:val="22"/>
                <w:highlight w:val="none"/>
                <w:lang w:val="zh-CN"/>
              </w:rPr>
              <w:sym w:font="Wingdings 2" w:char="0052"/>
            </w:r>
            <w:r>
              <w:rPr>
                <w:rFonts w:hint="eastAsia" w:ascii="宋体" w:hAnsi="宋体" w:cs="宋体"/>
                <w:color w:val="auto"/>
                <w:kern w:val="0"/>
                <w:sz w:val="22"/>
                <w:szCs w:val="22"/>
                <w:highlight w:val="none"/>
                <w:lang w:val="zh-CN"/>
              </w:rPr>
              <w:t>不召开</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9</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w:t>
            </w:r>
            <w:r>
              <w:rPr>
                <w:rFonts w:hint="eastAsia" w:ascii="宋体" w:hAnsi="宋体" w:cs="宋体"/>
                <w:color w:val="auto"/>
                <w:kern w:val="0"/>
                <w:sz w:val="22"/>
                <w:szCs w:val="22"/>
                <w:highlight w:val="none"/>
              </w:rPr>
              <w:t>响应</w:t>
            </w:r>
            <w:r>
              <w:rPr>
                <w:rFonts w:hint="eastAsia" w:ascii="宋体" w:hAnsi="宋体" w:cs="宋体"/>
                <w:color w:val="auto"/>
                <w:kern w:val="0"/>
                <w:sz w:val="22"/>
                <w:szCs w:val="22"/>
                <w:highlight w:val="none"/>
                <w:lang w:val="zh-CN"/>
              </w:rPr>
              <w:t>截止时间</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rPr>
            </w:pPr>
            <w:r>
              <w:rPr>
                <w:rFonts w:hint="eastAsia" w:ascii="宋体" w:hAnsi="宋体" w:cs="宋体"/>
                <w:bCs/>
                <w:color w:val="auto"/>
                <w:kern w:val="0"/>
                <w:sz w:val="22"/>
                <w:szCs w:val="22"/>
                <w:highlight w:val="none"/>
              </w:rPr>
              <w:t>见采购公告</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10</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分包</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□允许</w:t>
            </w:r>
            <w:r>
              <w:rPr>
                <w:rFonts w:hint="eastAsia" w:ascii="宋体" w:hAnsi="宋体" w:cs="宋体"/>
                <w:color w:val="auto"/>
                <w:kern w:val="0"/>
                <w:sz w:val="22"/>
                <w:szCs w:val="22"/>
                <w:highlight w:val="none"/>
              </w:rPr>
              <w:t xml:space="preserve">   </w:t>
            </w:r>
            <w:r>
              <w:rPr>
                <w:rFonts w:hint="eastAsia" w:ascii="宋体" w:hAnsi="宋体" w:cs="宋体"/>
                <w:b/>
                <w:snapToGrid w:val="0"/>
                <w:color w:val="auto"/>
                <w:sz w:val="22"/>
                <w:szCs w:val="22"/>
                <w:highlight w:val="none"/>
              </w:rPr>
              <w:sym w:font="Times New Roman" w:char="0000"/>
            </w:r>
            <w:r>
              <w:rPr>
                <w:rFonts w:hint="eastAsia" w:ascii="宋体" w:hAnsi="宋体" w:cs="宋体"/>
                <w:color w:val="auto"/>
                <w:kern w:val="0"/>
                <w:sz w:val="22"/>
                <w:szCs w:val="22"/>
                <w:highlight w:val="none"/>
                <w:lang w:val="zh-CN"/>
              </w:rPr>
              <w:sym w:font="Wingdings 2" w:char="0052"/>
            </w:r>
            <w:r>
              <w:rPr>
                <w:rFonts w:hint="eastAsia" w:ascii="宋体" w:hAnsi="宋体" w:cs="宋体"/>
                <w:color w:val="auto"/>
                <w:kern w:val="0"/>
                <w:sz w:val="22"/>
                <w:szCs w:val="22"/>
                <w:highlight w:val="none"/>
                <w:lang w:val="zh-CN"/>
              </w:rPr>
              <w:t>不允许</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11</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偏离</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偏差允许幅度及其处理方法：</w:t>
            </w:r>
            <w:r>
              <w:rPr>
                <w:rFonts w:hint="eastAsia" w:ascii="宋体" w:hAnsi="宋体" w:cs="宋体"/>
                <w:color w:val="auto"/>
                <w:kern w:val="0"/>
                <w:sz w:val="22"/>
                <w:szCs w:val="22"/>
                <w:highlight w:val="none"/>
              </w:rPr>
              <w:t>允许细微偏差，</w:t>
            </w:r>
            <w:r>
              <w:rPr>
                <w:rFonts w:hint="eastAsia" w:ascii="宋体" w:hAnsi="宋体" w:cs="宋体"/>
                <w:color w:val="auto"/>
                <w:kern w:val="0"/>
                <w:sz w:val="22"/>
                <w:szCs w:val="22"/>
                <w:highlight w:val="none"/>
                <w:lang w:val="zh-CN"/>
              </w:rPr>
              <w:t>不允许</w:t>
            </w:r>
            <w:r>
              <w:rPr>
                <w:rFonts w:hint="eastAsia" w:ascii="宋体" w:hAnsi="宋体" w:cs="宋体"/>
                <w:color w:val="auto"/>
                <w:kern w:val="0"/>
                <w:sz w:val="22"/>
                <w:szCs w:val="22"/>
                <w:highlight w:val="none"/>
              </w:rPr>
              <w:t>重大</w:t>
            </w:r>
            <w:r>
              <w:rPr>
                <w:rFonts w:hint="eastAsia" w:ascii="宋体" w:hAnsi="宋体" w:cs="宋体"/>
                <w:color w:val="auto"/>
                <w:kern w:val="0"/>
                <w:sz w:val="22"/>
                <w:szCs w:val="22"/>
                <w:highlight w:val="none"/>
                <w:lang w:val="zh-CN"/>
              </w:rPr>
              <w:t>负偏差。</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12</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投标有效期</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自投标截止时间起生效，有效期90天。</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13</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投标保证金</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widowControl/>
              <w:tabs>
                <w:tab w:val="left" w:pos="-360"/>
              </w:tabs>
              <w:autoSpaceDE w:val="0"/>
              <w:autoSpaceDN w:val="0"/>
              <w:spacing w:line="400" w:lineRule="exact"/>
              <w:ind w:right="-34"/>
              <w:textAlignment w:val="bottom"/>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投标保证金额：▲人民币</w:t>
            </w:r>
            <w:r>
              <w:rPr>
                <w:rFonts w:hint="eastAsia" w:ascii="宋体" w:hAnsi="宋体" w:cs="宋体"/>
                <w:color w:val="auto"/>
                <w:kern w:val="0"/>
                <w:sz w:val="22"/>
                <w:szCs w:val="22"/>
                <w:highlight w:val="none"/>
              </w:rPr>
              <w:t>贰仟</w:t>
            </w:r>
            <w:r>
              <w:rPr>
                <w:rFonts w:hint="eastAsia" w:ascii="宋体" w:hAnsi="宋体" w:cs="宋体"/>
                <w:color w:val="auto"/>
                <w:kern w:val="0"/>
                <w:sz w:val="22"/>
                <w:szCs w:val="22"/>
                <w:highlight w:val="none"/>
                <w:lang w:val="en-US" w:eastAsia="zh-CN"/>
              </w:rPr>
              <w:t>元</w:t>
            </w:r>
            <w:r>
              <w:rPr>
                <w:rFonts w:hint="eastAsia" w:ascii="宋体" w:hAnsi="宋体" w:cs="宋体"/>
                <w:color w:val="auto"/>
                <w:kern w:val="0"/>
                <w:sz w:val="22"/>
                <w:szCs w:val="22"/>
                <w:highlight w:val="none"/>
                <w:lang w:val="zh-CN"/>
              </w:rPr>
              <w:t>整（投标人须在投标截止时间前将投标保证金以银行转帐形式缴纳并到帐，汇出账号须为投标人银行帐户）。</w:t>
            </w:r>
          </w:p>
          <w:p>
            <w:pPr>
              <w:widowControl/>
              <w:tabs>
                <w:tab w:val="left" w:pos="-360"/>
              </w:tabs>
              <w:autoSpaceDE w:val="0"/>
              <w:autoSpaceDN w:val="0"/>
              <w:spacing w:line="400" w:lineRule="exact"/>
              <w:ind w:left="439" w:leftChars="209" w:right="-34"/>
              <w:textAlignment w:val="bottom"/>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户名：温州元信工程项目管理有限公司</w:t>
            </w:r>
          </w:p>
          <w:p>
            <w:pPr>
              <w:widowControl/>
              <w:tabs>
                <w:tab w:val="left" w:pos="-360"/>
              </w:tabs>
              <w:autoSpaceDE w:val="0"/>
              <w:autoSpaceDN w:val="0"/>
              <w:spacing w:line="400" w:lineRule="exact"/>
              <w:ind w:left="439" w:leftChars="209" w:right="-34"/>
              <w:textAlignment w:val="bottom"/>
              <w:rPr>
                <w:rFonts w:hint="eastAsia"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账号：6232593499186768842</w:t>
            </w:r>
          </w:p>
          <w:p>
            <w:pPr>
              <w:widowControl/>
              <w:tabs>
                <w:tab w:val="left" w:pos="-360"/>
              </w:tabs>
              <w:autoSpaceDE w:val="0"/>
              <w:autoSpaceDN w:val="0"/>
              <w:spacing w:line="400" w:lineRule="exact"/>
              <w:ind w:left="439" w:leftChars="209" w:right="-34"/>
              <w:textAlignment w:val="bottom"/>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开户行：广发银行股份有限公司温州分行</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14</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rPr>
              <w:t>投标文件</w:t>
            </w:r>
            <w:r>
              <w:rPr>
                <w:rFonts w:hint="eastAsia" w:ascii="宋体" w:hAnsi="宋体" w:cs="宋体"/>
                <w:b/>
                <w:bCs/>
                <w:color w:val="auto"/>
                <w:kern w:val="0"/>
                <w:sz w:val="22"/>
                <w:szCs w:val="22"/>
                <w:highlight w:val="none"/>
                <w:lang w:val="zh-CN"/>
              </w:rPr>
              <w:t>的组成</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b/>
                <w:bCs/>
                <w:color w:val="auto"/>
                <w:kern w:val="0"/>
                <w:sz w:val="22"/>
                <w:szCs w:val="22"/>
                <w:highlight w:val="none"/>
                <w:lang w:val="zh-CN"/>
              </w:rPr>
            </w:pPr>
            <w:r>
              <w:rPr>
                <w:rFonts w:hint="eastAsia" w:ascii="宋体" w:hAnsi="宋体" w:cs="宋体"/>
                <w:b/>
                <w:bCs/>
                <w:color w:val="auto"/>
                <w:kern w:val="0"/>
                <w:sz w:val="22"/>
                <w:szCs w:val="22"/>
                <w:highlight w:val="none"/>
                <w:lang w:val="zh-CN"/>
              </w:rPr>
              <w:t>由“资格文件”、“商务技术文件”和“报价文件”三个部分组成。纸质投标文件正本一份，副本五份，共六份。</w:t>
            </w:r>
            <w:r>
              <w:rPr>
                <w:rFonts w:hint="eastAsia" w:ascii="宋体" w:hAnsi="宋体" w:cs="新宋体"/>
                <w:b/>
                <w:bCs/>
                <w:color w:val="auto"/>
                <w:kern w:val="0"/>
                <w:sz w:val="22"/>
                <w:szCs w:val="22"/>
                <w:highlight w:val="none"/>
                <w:lang w:val="zh-CN"/>
              </w:rPr>
              <w:t>电子投标文件U盘</w:t>
            </w:r>
            <w:r>
              <w:rPr>
                <w:rFonts w:ascii="宋体" w:hAnsi="宋体" w:cs="新宋体"/>
                <w:b/>
                <w:bCs/>
                <w:color w:val="auto"/>
                <w:kern w:val="0"/>
                <w:sz w:val="22"/>
                <w:szCs w:val="22"/>
                <w:highlight w:val="none"/>
                <w:lang w:val="zh-CN"/>
              </w:rPr>
              <w:t>一</w:t>
            </w:r>
            <w:r>
              <w:rPr>
                <w:rFonts w:hint="eastAsia" w:ascii="宋体" w:hAnsi="宋体" w:cs="新宋体"/>
                <w:b/>
                <w:bCs/>
                <w:color w:val="auto"/>
                <w:kern w:val="0"/>
                <w:sz w:val="22"/>
                <w:szCs w:val="22"/>
                <w:highlight w:val="none"/>
                <w:lang w:val="zh-CN"/>
              </w:rPr>
              <w:t>份</w:t>
            </w:r>
            <w:r>
              <w:rPr>
                <w:rFonts w:ascii="宋体" w:hAnsi="宋体" w:cs="新宋体"/>
                <w:b/>
                <w:bCs/>
                <w:color w:val="auto"/>
                <w:kern w:val="0"/>
                <w:sz w:val="22"/>
                <w:szCs w:val="22"/>
                <w:highlight w:val="none"/>
                <w:lang w:val="zh-CN"/>
              </w:rPr>
              <w:t>，</w:t>
            </w:r>
            <w:r>
              <w:rPr>
                <w:rFonts w:hint="eastAsia" w:ascii="宋体" w:hAnsi="宋体" w:cs="新宋体"/>
                <w:b/>
                <w:bCs/>
                <w:color w:val="auto"/>
                <w:kern w:val="0"/>
                <w:sz w:val="22"/>
                <w:szCs w:val="22"/>
                <w:highlight w:val="none"/>
                <w:lang w:val="zh-CN"/>
              </w:rPr>
              <w:t>共</w:t>
            </w:r>
            <w:r>
              <w:rPr>
                <w:rFonts w:hint="eastAsia" w:ascii="宋体" w:hAnsi="宋体" w:cs="新宋体"/>
                <w:b/>
                <w:bCs/>
                <w:color w:val="auto"/>
                <w:kern w:val="0"/>
                <w:sz w:val="22"/>
                <w:szCs w:val="22"/>
                <w:highlight w:val="none"/>
              </w:rPr>
              <w:t>一</w:t>
            </w:r>
            <w:r>
              <w:rPr>
                <w:rFonts w:hint="eastAsia" w:ascii="宋体" w:hAnsi="宋体" w:cs="新宋体"/>
                <w:b/>
                <w:bCs/>
                <w:color w:val="auto"/>
                <w:kern w:val="0"/>
                <w:sz w:val="22"/>
                <w:szCs w:val="22"/>
                <w:highlight w:val="none"/>
                <w:lang w:val="zh-CN"/>
              </w:rPr>
              <w:t>份。</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15</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开标时间</w:t>
            </w:r>
          </w:p>
          <w:p>
            <w:pPr>
              <w:autoSpaceDE w:val="0"/>
              <w:autoSpaceDN w:val="0"/>
              <w:adjustRightInd w:val="0"/>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和地点</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详见采购公告</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16</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评标委员会</w:t>
            </w:r>
          </w:p>
          <w:p>
            <w:pPr>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的组建</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bCs/>
                <w:color w:val="auto"/>
                <w:sz w:val="22"/>
                <w:szCs w:val="22"/>
                <w:highlight w:val="none"/>
              </w:rPr>
              <w:t>采购人按照《</w:t>
            </w:r>
            <w:r>
              <w:rPr>
                <w:rFonts w:hint="eastAsia" w:ascii="宋体" w:hAnsi="宋体" w:cs="宋体"/>
                <w:bCs/>
                <w:color w:val="auto"/>
                <w:kern w:val="0"/>
                <w:sz w:val="22"/>
                <w:szCs w:val="22"/>
                <w:highlight w:val="none"/>
              </w:rPr>
              <w:t>温州市市属国有企业采购管理办法（试行）</w:t>
            </w:r>
            <w:r>
              <w:rPr>
                <w:rFonts w:hint="eastAsia" w:ascii="宋体" w:hAnsi="宋体" w:cs="宋体"/>
                <w:bCs/>
                <w:color w:val="auto"/>
                <w:sz w:val="22"/>
                <w:szCs w:val="22"/>
                <w:highlight w:val="none"/>
              </w:rPr>
              <w:t>》等有关法律、法规的规定组建评标委员会，评标委员会由采购人代表和有关技术、经济等方面的专家组成，成员人数为5人（含）以上单数，除采购人代表外的专家将在评标专家库中随机抽取产生。</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17</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rPr>
              <w:t>履约保证金</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fldChar w:fldCharType="begin"/>
            </w:r>
            <w:r>
              <w:rPr>
                <w:rFonts w:hint="eastAsia" w:ascii="宋体" w:hAnsi="宋体" w:cs="宋体"/>
                <w:color w:val="auto"/>
                <w:kern w:val="0"/>
                <w:sz w:val="22"/>
                <w:szCs w:val="22"/>
                <w:highlight w:val="none"/>
              </w:rPr>
              <w:instrText xml:space="preserve"> eq \o\ac(</w:instrText>
            </w:r>
            <w:r>
              <w:rPr>
                <w:rFonts w:hint="eastAsia" w:ascii="宋体" w:hAnsi="宋体" w:cs="宋体"/>
                <w:color w:val="auto"/>
                <w:kern w:val="0"/>
                <w:position w:val="-4"/>
                <w:sz w:val="22"/>
                <w:szCs w:val="22"/>
                <w:highlight w:val="none"/>
              </w:rPr>
              <w:instrText xml:space="preserve">□</w:instrText>
            </w:r>
            <w:r>
              <w:rPr>
                <w:rFonts w:hint="eastAsia" w:ascii="宋体" w:hAnsi="宋体" w:cs="宋体"/>
                <w:color w:val="auto"/>
                <w:kern w:val="0"/>
                <w:sz w:val="22"/>
                <w:szCs w:val="22"/>
                <w:highlight w:val="none"/>
              </w:rPr>
              <w:instrText xml:space="preserve">,√)</w:instrText>
            </w:r>
            <w:r>
              <w:rPr>
                <w:rFonts w:hint="eastAsia" w:ascii="宋体" w:hAnsi="宋体" w:cs="宋体"/>
                <w:color w:val="auto"/>
                <w:kern w:val="0"/>
                <w:sz w:val="22"/>
                <w:szCs w:val="22"/>
                <w:highlight w:val="none"/>
              </w:rPr>
              <w:fldChar w:fldCharType="end"/>
            </w:r>
            <w:r>
              <w:rPr>
                <w:rFonts w:hint="eastAsia" w:ascii="宋体" w:hAnsi="宋体" w:cs="宋体"/>
                <w:color w:val="auto"/>
                <w:kern w:val="0"/>
                <w:sz w:val="22"/>
                <w:szCs w:val="22"/>
                <w:highlight w:val="none"/>
              </w:rPr>
              <w:t>需要</w:t>
            </w:r>
          </w:p>
          <w:p>
            <w:pPr>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履约保证金的形式：银行转账，不接受保函形式。</w:t>
            </w:r>
          </w:p>
          <w:p>
            <w:pPr>
              <w:spacing w:line="40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履约保证金的金额：</w:t>
            </w:r>
            <w:r>
              <w:rPr>
                <w:rFonts w:hint="eastAsia" w:ascii="宋体" w:hAnsi="宋体" w:cs="宋体"/>
                <w:b/>
                <w:color w:val="auto"/>
                <w:kern w:val="0"/>
                <w:sz w:val="22"/>
                <w:szCs w:val="22"/>
                <w:highlight w:val="none"/>
              </w:rPr>
              <w:t>合同价款的2.5%</w:t>
            </w:r>
            <w:r>
              <w:rPr>
                <w:rFonts w:hint="eastAsia" w:ascii="宋体" w:hAnsi="宋体" w:cs="宋体"/>
                <w:color w:val="auto"/>
                <w:kern w:val="0"/>
                <w:sz w:val="22"/>
                <w:szCs w:val="22"/>
                <w:highlight w:val="none"/>
              </w:rPr>
              <w:t xml:space="preserve">。 </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18</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合同备案</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（1）中标人在中标通知书发出之日起30日历天内与采购人签订合同。</w:t>
            </w:r>
          </w:p>
          <w:p>
            <w:pPr>
              <w:spacing w:line="400" w:lineRule="exact"/>
              <w:jc w:val="left"/>
              <w:rPr>
                <w:rFonts w:ascii="宋体" w:hAnsi="宋体" w:cs="宋体"/>
                <w:color w:val="auto"/>
                <w:kern w:val="0"/>
                <w:sz w:val="22"/>
                <w:szCs w:val="22"/>
                <w:highlight w:val="none"/>
              </w:rPr>
            </w:pPr>
            <w:r>
              <w:rPr>
                <w:rFonts w:hint="eastAsia" w:ascii="宋体" w:hAnsi="宋体" w:cs="宋体"/>
                <w:color w:val="auto"/>
                <w:sz w:val="22"/>
                <w:szCs w:val="22"/>
                <w:highlight w:val="none"/>
              </w:rPr>
              <w:t>（2）中标人与采购人签订合同后，2日历天内将合同扫描件电子版发给采购代理机构：邮箱：Yxgc666@126.com。</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19</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合同履约管理</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合同签订后，采购人依法加强对合同履约进行管理，并在中标单位服务、项目验收等重要关节，如实填写《合同验收报告》（或考核资料），并及时向同级财政部门报告验收过程中遇到的问题。</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20</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解释权</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rPr>
                <w:rFonts w:ascii="宋体" w:hAnsi="宋体" w:cs="宋体"/>
                <w:color w:val="auto"/>
                <w:kern w:val="0"/>
                <w:sz w:val="22"/>
                <w:szCs w:val="22"/>
                <w:highlight w:val="none"/>
                <w:lang w:val="zh-CN"/>
              </w:rPr>
            </w:pPr>
            <w:r>
              <w:rPr>
                <w:rFonts w:hint="eastAsia" w:ascii="宋体" w:hAnsi="宋体" w:cs="宋体"/>
                <w:color w:val="auto"/>
                <w:sz w:val="22"/>
                <w:szCs w:val="22"/>
                <w:highlight w:val="none"/>
              </w:rPr>
              <w:t>构成本采购文件的各个组成文件应互为解释，互为说明；如有不明确或不一致，构成合同文件组成内容的，以合同文件约定内容为准，且以专用合同条款约定的合同文件优先顺序解释；仅适用于采购投标阶段的约定，按采购公告、投标人须知、评审办法、投标文件格式的先后顺序解释；同一文件中就同一事项的约定不一致的，以逻辑顺序在后者为准；同一文件不同版本之间有不一致的，以形成时间在后者为准。按本款前述约定仍不能形成结论的，由采购人负责解释。</w:t>
            </w:r>
          </w:p>
        </w:tc>
      </w:tr>
      <w:tr>
        <w:tblPrEx>
          <w:tblCellMar>
            <w:top w:w="0" w:type="dxa"/>
            <w:left w:w="108" w:type="dxa"/>
            <w:bottom w:w="0" w:type="dxa"/>
            <w:right w:w="108" w:type="dxa"/>
          </w:tblCellMar>
        </w:tblPrEx>
        <w:tc>
          <w:tcPr>
            <w:tcW w:w="529"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40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21</w:t>
            </w:r>
          </w:p>
        </w:tc>
        <w:tc>
          <w:tcPr>
            <w:tcW w:w="746"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采购代理服务费</w:t>
            </w:r>
          </w:p>
        </w:tc>
        <w:tc>
          <w:tcPr>
            <w:tcW w:w="3724" w:type="pct"/>
            <w:tcBorders>
              <w:top w:val="single" w:color="000000" w:sz="2" w:space="0"/>
              <w:left w:val="single" w:color="000000" w:sz="2" w:space="0"/>
              <w:bottom w:val="single" w:color="000000" w:sz="2" w:space="0"/>
              <w:right w:val="single" w:color="000000" w:sz="2" w:space="0"/>
            </w:tcBorders>
            <w:shd w:val="clear" w:color="000000" w:fill="FFFFFF"/>
            <w:vAlign w:val="center"/>
          </w:tcPr>
          <w:p>
            <w:pPr>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按固定金额人民币伍仟捌佰元整收取，由中标人在领取中标通知书之前支付给采购代理机构</w:t>
            </w:r>
          </w:p>
        </w:tc>
      </w:tr>
    </w:tbl>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r>
        <w:rPr>
          <w:rFonts w:hint="eastAsia" w:ascii="宋体" w:hAnsi="宋体" w:cs="宋体"/>
          <w:b/>
          <w:bCs/>
          <w:color w:val="auto"/>
          <w:sz w:val="26"/>
          <w:szCs w:val="26"/>
          <w:highlight w:val="none"/>
        </w:rPr>
        <w:t xml:space="preserve"> </w:t>
      </w:r>
      <w:bookmarkStart w:id="38" w:name="_Toc4603"/>
      <w:r>
        <w:rPr>
          <w:rFonts w:hint="eastAsia" w:ascii="宋体" w:hAnsi="宋体" w:cs="宋体"/>
          <w:b/>
          <w:bCs/>
          <w:color w:val="auto"/>
          <w:sz w:val="26"/>
          <w:szCs w:val="26"/>
          <w:highlight w:val="none"/>
        </w:rPr>
        <w:t>说明</w:t>
      </w:r>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p>
    <w:p>
      <w:pPr>
        <w:numPr>
          <w:ilvl w:val="0"/>
          <w:numId w:val="6"/>
        </w:numPr>
        <w:tabs>
          <w:tab w:val="left" w:pos="540"/>
          <w:tab w:val="left" w:pos="90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本次采购是按照《温州市市属国有企业采购管理办法（试行）》等法律及有关法规组织和实施的。</w:t>
      </w:r>
    </w:p>
    <w:p>
      <w:pPr>
        <w:numPr>
          <w:ilvl w:val="0"/>
          <w:numId w:val="6"/>
        </w:numPr>
        <w:tabs>
          <w:tab w:val="left" w:pos="540"/>
          <w:tab w:val="left" w:pos="900"/>
          <w:tab w:val="clear" w:pos="420"/>
        </w:tabs>
        <w:spacing w:line="460" w:lineRule="exact"/>
        <w:ind w:left="540" w:hanging="540"/>
        <w:rPr>
          <w:rFonts w:ascii="宋体" w:hAnsi="宋体" w:cs="宋体"/>
          <w:color w:val="auto"/>
          <w:sz w:val="22"/>
          <w:szCs w:val="22"/>
          <w:highlight w:val="none"/>
        </w:rPr>
      </w:pPr>
      <w:r>
        <w:rPr>
          <w:rFonts w:hint="eastAsia" w:ascii="宋体" w:hAnsi="宋体" w:cs="宋体"/>
          <w:b/>
          <w:bCs/>
          <w:color w:val="auto"/>
          <w:szCs w:val="21"/>
          <w:highlight w:val="none"/>
        </w:rPr>
        <w:t>▲</w:t>
      </w:r>
      <w:r>
        <w:rPr>
          <w:rFonts w:hint="eastAsia" w:ascii="宋体" w:hAnsi="宋体" w:cs="宋体"/>
          <w:b/>
          <w:color w:val="auto"/>
          <w:sz w:val="22"/>
          <w:szCs w:val="22"/>
          <w:highlight w:val="none"/>
          <w:u w:val="single"/>
        </w:rPr>
        <w:t>合格投标人</w:t>
      </w:r>
    </w:p>
    <w:p>
      <w:pPr>
        <w:tabs>
          <w:tab w:val="left" w:pos="540"/>
          <w:tab w:val="left" w:pos="900"/>
        </w:tabs>
        <w:spacing w:line="460" w:lineRule="exact"/>
        <w:ind w:firstLine="1104" w:firstLineChars="500"/>
        <w:rPr>
          <w:rFonts w:ascii="宋体" w:hAnsi="宋体" w:cs="宋体"/>
          <w:color w:val="auto"/>
          <w:sz w:val="22"/>
          <w:szCs w:val="22"/>
          <w:highlight w:val="none"/>
        </w:rPr>
      </w:pPr>
      <w:r>
        <w:rPr>
          <w:rFonts w:hint="eastAsia" w:ascii="宋体" w:hAnsi="宋体" w:cs="宋体"/>
          <w:b/>
          <w:color w:val="auto"/>
          <w:sz w:val="22"/>
          <w:szCs w:val="22"/>
          <w:highlight w:val="none"/>
          <w:u w:val="single"/>
        </w:rPr>
        <w:t>详见采购公告</w:t>
      </w:r>
    </w:p>
    <w:p>
      <w:pPr>
        <w:numPr>
          <w:ilvl w:val="0"/>
          <w:numId w:val="6"/>
        </w:numPr>
        <w:tabs>
          <w:tab w:val="left" w:pos="540"/>
          <w:tab w:val="left" w:pos="90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投标人代表</w:t>
      </w:r>
    </w:p>
    <w:p>
      <w:pPr>
        <w:spacing w:line="460" w:lineRule="exact"/>
        <w:ind w:left="538" w:leftChars="256"/>
        <w:rPr>
          <w:rFonts w:ascii="宋体" w:hAnsi="宋体" w:cs="宋体"/>
          <w:color w:val="auto"/>
          <w:sz w:val="22"/>
          <w:szCs w:val="22"/>
          <w:highlight w:val="none"/>
        </w:rPr>
      </w:pPr>
      <w:r>
        <w:rPr>
          <w:rFonts w:hint="eastAsia" w:ascii="宋体" w:hAnsi="宋体" w:cs="宋体"/>
          <w:color w:val="auto"/>
          <w:sz w:val="22"/>
          <w:szCs w:val="22"/>
          <w:highlight w:val="none"/>
        </w:rPr>
        <w:t>指全权代表投标人参加投标活动并签署投标文件的人。如果投标人代表不是法定代表人，须持有《法定代表人授权书》。</w:t>
      </w:r>
    </w:p>
    <w:p>
      <w:pPr>
        <w:numPr>
          <w:ilvl w:val="0"/>
          <w:numId w:val="6"/>
        </w:numPr>
        <w:tabs>
          <w:tab w:val="left" w:pos="540"/>
          <w:tab w:val="left" w:pos="90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投标费用</w:t>
      </w:r>
    </w:p>
    <w:p>
      <w:pPr>
        <w:spacing w:line="460" w:lineRule="exact"/>
        <w:ind w:left="538" w:leftChars="256"/>
        <w:rPr>
          <w:rFonts w:ascii="宋体" w:hAnsi="宋体" w:cs="宋体"/>
          <w:color w:val="auto"/>
          <w:sz w:val="22"/>
          <w:szCs w:val="22"/>
          <w:highlight w:val="none"/>
        </w:rPr>
      </w:pPr>
      <w:r>
        <w:rPr>
          <w:rFonts w:hint="eastAsia" w:ascii="宋体" w:hAnsi="宋体" w:cs="宋体"/>
          <w:color w:val="auto"/>
          <w:sz w:val="22"/>
          <w:szCs w:val="22"/>
          <w:highlight w:val="none"/>
        </w:rPr>
        <w:t>投标人应承担所有与准备和参加投标有关费用，不论投标的结果如何，采购人和采购代理机构均无义务和责任承担这些费用。</w:t>
      </w:r>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bookmarkStart w:id="39" w:name="_Toc221374624"/>
      <w:bookmarkStart w:id="40" w:name="_Toc246261263"/>
      <w:bookmarkStart w:id="41" w:name="_Toc221356949"/>
      <w:bookmarkStart w:id="42" w:name="_Toc249758862"/>
      <w:bookmarkStart w:id="43" w:name="_Toc239145352"/>
      <w:bookmarkStart w:id="44" w:name="_Toc223715996"/>
      <w:bookmarkStart w:id="45" w:name="_Toc262049416"/>
      <w:bookmarkStart w:id="46" w:name="_Toc222114877"/>
      <w:bookmarkStart w:id="47" w:name="_Toc245722279"/>
      <w:bookmarkStart w:id="48" w:name="_Toc249758710"/>
      <w:bookmarkStart w:id="49" w:name="_Toc262105501"/>
      <w:bookmarkStart w:id="50" w:name="_Toc245191312"/>
      <w:bookmarkStart w:id="51" w:name="_Toc241404200"/>
      <w:bookmarkStart w:id="52" w:name="_Toc221423617"/>
      <w:bookmarkStart w:id="53" w:name="_Toc221356884"/>
      <w:r>
        <w:rPr>
          <w:rFonts w:hint="eastAsia" w:ascii="宋体" w:hAnsi="宋体" w:cs="宋体"/>
          <w:b/>
          <w:bCs/>
          <w:color w:val="auto"/>
          <w:sz w:val="26"/>
          <w:szCs w:val="26"/>
          <w:highlight w:val="none"/>
        </w:rPr>
        <w:t xml:space="preserve"> </w:t>
      </w:r>
      <w:bookmarkStart w:id="54" w:name="_Toc25344"/>
      <w:r>
        <w:rPr>
          <w:rFonts w:hint="eastAsia" w:ascii="宋体" w:hAnsi="宋体" w:cs="宋体"/>
          <w:b/>
          <w:bCs/>
          <w:color w:val="auto"/>
          <w:sz w:val="26"/>
          <w:szCs w:val="26"/>
          <w:highlight w:val="none"/>
        </w:rPr>
        <w:t>采购文件</w:t>
      </w:r>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p>
    <w:p>
      <w:pPr>
        <w:numPr>
          <w:ilvl w:val="0"/>
          <w:numId w:val="7"/>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采购文件由采购文件目录所列内容及相关资料组成。</w:t>
      </w:r>
    </w:p>
    <w:p>
      <w:pPr>
        <w:numPr>
          <w:ilvl w:val="0"/>
          <w:numId w:val="7"/>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采购文件的澄清</w:t>
      </w:r>
    </w:p>
    <w:p>
      <w:pPr>
        <w:spacing w:line="460" w:lineRule="exact"/>
        <w:ind w:left="538" w:leftChars="256"/>
        <w:rPr>
          <w:rFonts w:ascii="宋体" w:hAnsi="宋体" w:cs="宋体"/>
          <w:color w:val="auto"/>
          <w:sz w:val="22"/>
          <w:szCs w:val="22"/>
          <w:highlight w:val="none"/>
        </w:rPr>
      </w:pPr>
      <w:r>
        <w:rPr>
          <w:rFonts w:hint="eastAsia" w:ascii="宋体" w:hAnsi="宋体" w:cs="宋体"/>
          <w:color w:val="auto"/>
          <w:sz w:val="22"/>
          <w:szCs w:val="22"/>
          <w:highlight w:val="none"/>
        </w:rPr>
        <w:t>投标人对采购文件如有疑点或未尽事宜要求澄清，或认为有必要进行说明或交流，投标人可以在知道或应知其权益受到损害之日起三个工作日内，以书面形式（包括信函、传真、下同）向采购人或采购代理机构提出质疑，但质疑不得迟于投标截止日期前十五日使采购人收到。采购人或采购代理机构将用书面形式予以答复。如有必要，可将不说明问题来源的答复发给各有关投标人或召开答疑会。如果标书答疑期内未收到有关疑问，视为投标人完全同意采购文件所有条款，且对于采购文件相关表述以及未尽事宜如有争议，以采购人和采购代理机构解释为准。</w:t>
      </w:r>
    </w:p>
    <w:p>
      <w:pPr>
        <w:numPr>
          <w:ilvl w:val="0"/>
          <w:numId w:val="7"/>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采购文件的修改</w:t>
      </w:r>
    </w:p>
    <w:p>
      <w:pPr>
        <w:numPr>
          <w:ilvl w:val="1"/>
          <w:numId w:val="8"/>
        </w:numPr>
        <w:tabs>
          <w:tab w:val="left" w:pos="360"/>
          <w:tab w:val="clear" w:pos="992"/>
        </w:tabs>
        <w:spacing w:line="460" w:lineRule="exact"/>
        <w:ind w:left="360" w:hanging="360"/>
        <w:rPr>
          <w:rFonts w:ascii="宋体" w:hAnsi="宋体" w:cs="宋体"/>
          <w:color w:val="auto"/>
          <w:sz w:val="22"/>
          <w:szCs w:val="22"/>
          <w:highlight w:val="none"/>
        </w:rPr>
      </w:pP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采购单位对已发出的采购文件进行必要的澄清或者修改的，应当在浙江省政府采购网和</w:t>
      </w:r>
      <w:r>
        <w:rPr>
          <w:rFonts w:hint="eastAsia" w:ascii="宋体" w:hAnsi="宋体" w:cs="宋体"/>
          <w:bCs/>
          <w:color w:val="auto"/>
          <w:sz w:val="22"/>
          <w:szCs w:val="22"/>
          <w:highlight w:val="none"/>
        </w:rPr>
        <w:t>温州国企采购平台等指定信息媒体</w:t>
      </w:r>
      <w:r>
        <w:rPr>
          <w:rFonts w:hint="eastAsia" w:ascii="宋体" w:hAnsi="宋体" w:cs="宋体"/>
          <w:color w:val="auto"/>
          <w:sz w:val="22"/>
          <w:szCs w:val="22"/>
          <w:highlight w:val="none"/>
        </w:rPr>
        <w:t>上发布更正公告，并以书面形式通知所有采购文件收受人。该澄清和修改的内容为采购文件的组成部分。澄清或者修改的内容可能影响投标文件编制的，采购人或者采购代理机构应当在投标截止时间至少15日前，以书面形式通知所有获取采购文件的潜在投标人；不足15日的，采购人将顺延提交投标文件的截止时间。采购文件收受人收到该书面通知后，应立即书面回复确认已收到该通知。</w:t>
      </w:r>
    </w:p>
    <w:p>
      <w:pPr>
        <w:numPr>
          <w:ilvl w:val="1"/>
          <w:numId w:val="8"/>
        </w:numPr>
        <w:tabs>
          <w:tab w:val="left" w:pos="360"/>
          <w:tab w:val="clear" w:pos="992"/>
        </w:tabs>
        <w:spacing w:line="460" w:lineRule="exact"/>
        <w:ind w:left="360" w:hanging="360"/>
        <w:rPr>
          <w:rFonts w:ascii="宋体" w:hAnsi="宋体" w:cs="宋体"/>
          <w:color w:val="auto"/>
          <w:sz w:val="22"/>
          <w:szCs w:val="22"/>
          <w:highlight w:val="none"/>
        </w:rPr>
      </w:pPr>
      <w:r>
        <w:rPr>
          <w:rFonts w:hint="eastAsia" w:ascii="宋体" w:hAnsi="宋体" w:cs="宋体"/>
          <w:color w:val="auto"/>
          <w:sz w:val="22"/>
          <w:szCs w:val="22"/>
          <w:highlight w:val="none"/>
        </w:rPr>
        <w:t>采购单位可以视采购具体情况在采购文件要求提交截止时间前，作出延长投标截止时间和开标时间的决定，并在采购文件要求递交投标文件的截止时间三日前，将变更时间书面通知所有采购文件收受人，同时在浙江政府采购网、温州国企采购平台上发布变更公告。采购文件收受人收到变更时间的书面通知后，应立即书面回复确认已收到该通知</w:t>
      </w:r>
      <w:r>
        <w:rPr>
          <w:rFonts w:hint="eastAsia" w:ascii="宋体" w:hAnsi="宋体" w:cs="宋体"/>
          <w:b/>
          <w:color w:val="auto"/>
          <w:sz w:val="22"/>
          <w:szCs w:val="22"/>
          <w:highlight w:val="none"/>
        </w:rPr>
        <w:t>。</w:t>
      </w:r>
    </w:p>
    <w:p>
      <w:pPr>
        <w:numPr>
          <w:ilvl w:val="1"/>
          <w:numId w:val="8"/>
        </w:numPr>
        <w:tabs>
          <w:tab w:val="left" w:pos="360"/>
          <w:tab w:val="clear" w:pos="992"/>
        </w:tabs>
        <w:spacing w:line="460" w:lineRule="exact"/>
        <w:ind w:left="360" w:hanging="360"/>
        <w:rPr>
          <w:rFonts w:ascii="宋体" w:hAnsi="宋体" w:cs="宋体"/>
          <w:color w:val="auto"/>
          <w:sz w:val="22"/>
          <w:szCs w:val="22"/>
          <w:highlight w:val="none"/>
        </w:rPr>
      </w:pPr>
      <w:r>
        <w:rPr>
          <w:rFonts w:hint="eastAsia" w:ascii="宋体" w:hAnsi="宋体" w:cs="宋体"/>
          <w:bCs/>
          <w:color w:val="auto"/>
          <w:sz w:val="22"/>
          <w:szCs w:val="22"/>
          <w:highlight w:val="none"/>
        </w:rPr>
        <w:t>采购文件如有补充更正均见</w:t>
      </w:r>
      <w:r>
        <w:rPr>
          <w:rFonts w:hint="eastAsia" w:ascii="宋体" w:hAnsi="宋体" w:cs="宋体"/>
          <w:color w:val="auto"/>
          <w:sz w:val="22"/>
          <w:szCs w:val="22"/>
          <w:highlight w:val="none"/>
        </w:rPr>
        <w:t>浙江政府采购网、温州国企采购平台</w:t>
      </w:r>
      <w:r>
        <w:rPr>
          <w:rFonts w:hint="eastAsia" w:ascii="宋体" w:hAnsi="宋体" w:cs="宋体"/>
          <w:bCs/>
          <w:color w:val="auto"/>
          <w:sz w:val="22"/>
          <w:szCs w:val="22"/>
          <w:highlight w:val="none"/>
        </w:rPr>
        <w:t>所发布的更正通知。投标人须在开标前自行查看是否有补充更正文件，并按补充更正文件要求投标，否则责任自负</w:t>
      </w:r>
      <w:r>
        <w:rPr>
          <w:rFonts w:hint="eastAsia" w:ascii="宋体" w:hAnsi="宋体" w:cs="宋体"/>
          <w:color w:val="auto"/>
          <w:sz w:val="22"/>
          <w:szCs w:val="22"/>
          <w:highlight w:val="none"/>
        </w:rPr>
        <w:t>。</w:t>
      </w:r>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bookmarkStart w:id="55" w:name="_Toc245722280"/>
      <w:bookmarkStart w:id="56" w:name="_Toc249758711"/>
      <w:bookmarkStart w:id="57" w:name="_Toc221374625"/>
      <w:bookmarkStart w:id="58" w:name="_Toc262049417"/>
      <w:bookmarkStart w:id="59" w:name="_Toc245191313"/>
      <w:bookmarkStart w:id="60" w:name="_Toc221423618"/>
      <w:bookmarkStart w:id="61" w:name="_Toc221356950"/>
      <w:bookmarkStart w:id="62" w:name="_Toc239145353"/>
      <w:bookmarkStart w:id="63" w:name="_Toc246261264"/>
      <w:bookmarkStart w:id="64" w:name="_Toc249758863"/>
      <w:bookmarkStart w:id="65" w:name="_Toc241404201"/>
      <w:bookmarkStart w:id="66" w:name="_Toc262105502"/>
      <w:bookmarkStart w:id="67" w:name="_Toc222114878"/>
      <w:bookmarkStart w:id="68" w:name="_Toc221356885"/>
      <w:bookmarkStart w:id="69" w:name="_Toc223715997"/>
      <w:r>
        <w:rPr>
          <w:rFonts w:hint="eastAsia" w:ascii="宋体" w:hAnsi="宋体" w:cs="宋体"/>
          <w:b/>
          <w:bCs/>
          <w:color w:val="auto"/>
          <w:sz w:val="26"/>
          <w:szCs w:val="26"/>
          <w:highlight w:val="none"/>
        </w:rPr>
        <w:t xml:space="preserve"> </w:t>
      </w:r>
      <w:bookmarkStart w:id="70" w:name="_Toc12646"/>
      <w:r>
        <w:rPr>
          <w:rFonts w:hint="eastAsia" w:ascii="宋体" w:hAnsi="宋体" w:cs="宋体"/>
          <w:b/>
          <w:bCs/>
          <w:color w:val="auto"/>
          <w:sz w:val="26"/>
          <w:szCs w:val="26"/>
          <w:highlight w:val="none"/>
        </w:rPr>
        <w:t>投标文件的编制</w:t>
      </w:r>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p>
    <w:p>
      <w:pPr>
        <w:numPr>
          <w:ilvl w:val="0"/>
          <w:numId w:val="9"/>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投标人应认真阅读采购文件中所有事项格式、条款和技术规范等。</w:t>
      </w:r>
      <w:r>
        <w:rPr>
          <w:rFonts w:hint="eastAsia" w:ascii="宋体" w:hAnsi="宋体" w:cs="宋体"/>
          <w:b/>
          <w:color w:val="auto"/>
          <w:sz w:val="22"/>
          <w:szCs w:val="22"/>
          <w:highlight w:val="none"/>
        </w:rPr>
        <w:t>投标人没有按照采购文件要求提交全部资料，或者没有对采购文件各个方面做出实质性响应，导致投标被拒绝的风险由投标人自行承担。</w:t>
      </w:r>
    </w:p>
    <w:p>
      <w:pPr>
        <w:numPr>
          <w:ilvl w:val="0"/>
          <w:numId w:val="9"/>
        </w:numPr>
        <w:tabs>
          <w:tab w:val="left" w:pos="540"/>
          <w:tab w:val="clear" w:pos="420"/>
        </w:tabs>
        <w:spacing w:line="460" w:lineRule="exact"/>
        <w:ind w:left="540" w:hanging="540"/>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▲投标人应保证所提供文件资料的真实性，所有文件资料必须是针对本次投标的。如发现投标人提供了虚假文件资料，其投标将被拒绝，并自行承担相应的法律责任。</w:t>
      </w:r>
    </w:p>
    <w:p>
      <w:pPr>
        <w:numPr>
          <w:ilvl w:val="0"/>
          <w:numId w:val="9"/>
        </w:numPr>
        <w:tabs>
          <w:tab w:val="left" w:pos="540"/>
          <w:tab w:val="clear" w:pos="420"/>
        </w:tabs>
        <w:spacing w:line="46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投标文件的构成：</w:t>
      </w:r>
    </w:p>
    <w:p>
      <w:pPr>
        <w:numPr>
          <w:ilvl w:val="1"/>
          <w:numId w:val="10"/>
        </w:numPr>
        <w:tabs>
          <w:tab w:val="left" w:pos="360"/>
          <w:tab w:val="left" w:pos="1135"/>
          <w:tab w:val="clear" w:pos="992"/>
        </w:tabs>
        <w:spacing w:line="460" w:lineRule="exact"/>
        <w:ind w:left="360" w:hanging="360"/>
        <w:rPr>
          <w:rFonts w:ascii="宋体" w:hAnsi="宋体" w:cs="宋体"/>
          <w:b/>
          <w:color w:val="auto"/>
          <w:sz w:val="22"/>
          <w:szCs w:val="22"/>
          <w:highlight w:val="none"/>
        </w:rPr>
      </w:pPr>
      <w:r>
        <w:rPr>
          <w:rFonts w:hint="eastAsia" w:ascii="宋体" w:hAnsi="宋体" w:cs="宋体"/>
          <w:b/>
          <w:color w:val="auto"/>
          <w:sz w:val="22"/>
          <w:szCs w:val="22"/>
          <w:highlight w:val="none"/>
        </w:rPr>
        <w:t xml:space="preserve">  投标文件由资格文件、商务技术文件、报价文件三部分构成：</w:t>
      </w:r>
    </w:p>
    <w:p>
      <w:pPr>
        <w:spacing w:line="430" w:lineRule="exact"/>
        <w:ind w:left="187" w:leftChars="85" w:hanging="9" w:hangingChars="4"/>
        <w:rPr>
          <w:rFonts w:ascii="宋体" w:hAnsi="宋体" w:cs="宋体"/>
          <w:b/>
          <w:color w:val="auto"/>
          <w:sz w:val="22"/>
          <w:szCs w:val="22"/>
          <w:highlight w:val="none"/>
        </w:rPr>
      </w:pPr>
      <w:r>
        <w:rPr>
          <w:rFonts w:hint="eastAsia" w:ascii="宋体" w:hAnsi="宋体" w:cs="宋体"/>
          <w:b/>
          <w:color w:val="auto"/>
          <w:sz w:val="22"/>
          <w:szCs w:val="22"/>
          <w:highlight w:val="none"/>
        </w:rPr>
        <w:t>（1）资格文件</w:t>
      </w:r>
    </w:p>
    <w:tbl>
      <w:tblPr>
        <w:tblStyle w:val="3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710"/>
        <w:gridCol w:w="12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5" w:hRule="atLeast"/>
        </w:trPr>
        <w:tc>
          <w:tcPr>
            <w:tcW w:w="888" w:type="dxa"/>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7710" w:type="dxa"/>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 容</w:t>
            </w:r>
          </w:p>
        </w:tc>
        <w:tc>
          <w:tcPr>
            <w:tcW w:w="1256" w:type="dxa"/>
            <w:vAlign w:val="center"/>
          </w:tcPr>
          <w:p>
            <w:pPr>
              <w:overflowPunct w:val="0"/>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8" w:type="dxa"/>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1</w:t>
            </w:r>
          </w:p>
        </w:tc>
        <w:tc>
          <w:tcPr>
            <w:tcW w:w="7710" w:type="dxa"/>
            <w:vAlign w:val="center"/>
          </w:tcPr>
          <w:p>
            <w:pPr>
              <w:rPr>
                <w:rFonts w:ascii="宋体" w:hAnsi="宋体" w:cs="宋体"/>
                <w:bCs/>
                <w:color w:val="auto"/>
                <w:sz w:val="22"/>
                <w:szCs w:val="22"/>
                <w:highlight w:val="none"/>
              </w:rPr>
            </w:pPr>
            <w:r>
              <w:rPr>
                <w:rFonts w:hint="eastAsia" w:ascii="宋体" w:hAnsi="宋体" w:cs="宋体"/>
                <w:color w:val="auto"/>
                <w:sz w:val="22"/>
                <w:szCs w:val="22"/>
                <w:highlight w:val="none"/>
              </w:rPr>
              <w:t>营业执照(或事业法人登记证书或其它工商等登记证明材料；自然人参与采购，提供身份证)复印件、税务登记证(或其它缴纳证明材料)复印件、社保登记证（或其它缴纳证明材料）复印件；实施“五证合一、一照一码”登记制度改革的，只需提供改革后取得的营业执照复印件</w:t>
            </w:r>
          </w:p>
        </w:tc>
        <w:tc>
          <w:tcPr>
            <w:tcW w:w="1256" w:type="dxa"/>
            <w:vAlign w:val="center"/>
          </w:tcPr>
          <w:p>
            <w:pPr>
              <w:overflowPunct w:val="0"/>
              <w:spacing w:line="430" w:lineRule="exact"/>
              <w:jc w:val="center"/>
              <w:rPr>
                <w:rFonts w:ascii="宋体" w:hAnsi="宋体" w:cs="宋体"/>
                <w:b/>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8" w:type="dxa"/>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2</w:t>
            </w:r>
          </w:p>
        </w:tc>
        <w:tc>
          <w:tcPr>
            <w:tcW w:w="7710" w:type="dxa"/>
            <w:vAlign w:val="center"/>
          </w:tcPr>
          <w:p>
            <w:pPr>
              <w:rPr>
                <w:rFonts w:ascii="宋体" w:hAnsi="宋体" w:cs="宋体"/>
                <w:bCs/>
                <w:color w:val="auto"/>
                <w:sz w:val="22"/>
                <w:szCs w:val="22"/>
                <w:highlight w:val="none"/>
              </w:rPr>
            </w:pPr>
            <w:r>
              <w:rPr>
                <w:rFonts w:hint="eastAsia" w:ascii="宋体" w:hAnsi="宋体" w:cs="宋体"/>
                <w:bCs/>
                <w:color w:val="auto"/>
                <w:sz w:val="22"/>
                <w:szCs w:val="22"/>
                <w:highlight w:val="none"/>
              </w:rPr>
              <w:t>法定代表人声明书或法定代表人授权书</w:t>
            </w:r>
          </w:p>
        </w:tc>
        <w:tc>
          <w:tcPr>
            <w:tcW w:w="1256" w:type="dxa"/>
            <w:vMerge w:val="restart"/>
            <w:vAlign w:val="center"/>
          </w:tcPr>
          <w:p>
            <w:pPr>
              <w:jc w:val="center"/>
              <w:rPr>
                <w:rFonts w:ascii="宋体" w:hAnsi="宋体" w:cs="宋体"/>
                <w:bCs/>
                <w:color w:val="auto"/>
                <w:sz w:val="22"/>
                <w:szCs w:val="22"/>
                <w:highlight w:val="none"/>
              </w:rPr>
            </w:pPr>
            <w:r>
              <w:rPr>
                <w:rFonts w:hint="eastAsia" w:ascii="宋体" w:hAnsi="宋体" w:cs="宋体"/>
                <w:bCs/>
                <w:color w:val="auto"/>
                <w:sz w:val="22"/>
                <w:szCs w:val="22"/>
                <w:highlight w:val="none"/>
              </w:rPr>
              <w:t>附件一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8" w:type="dxa"/>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3</w:t>
            </w:r>
          </w:p>
        </w:tc>
        <w:tc>
          <w:tcPr>
            <w:tcW w:w="7710" w:type="dxa"/>
            <w:vAlign w:val="center"/>
          </w:tcPr>
          <w:p>
            <w:pPr>
              <w:rPr>
                <w:rFonts w:ascii="宋体" w:hAnsi="宋体" w:cs="宋体"/>
                <w:bCs/>
                <w:color w:val="auto"/>
                <w:sz w:val="22"/>
                <w:szCs w:val="22"/>
                <w:highlight w:val="none"/>
              </w:rPr>
            </w:pPr>
            <w:r>
              <w:rPr>
                <w:rFonts w:hint="eastAsia" w:ascii="宋体" w:hAnsi="宋体" w:cs="宋体"/>
                <w:bCs/>
                <w:color w:val="auto"/>
                <w:sz w:val="22"/>
                <w:szCs w:val="22"/>
                <w:highlight w:val="none"/>
              </w:rPr>
              <w:t>投标投标人参与国企采购活动投标资格声明函</w:t>
            </w:r>
          </w:p>
        </w:tc>
        <w:tc>
          <w:tcPr>
            <w:tcW w:w="1256" w:type="dxa"/>
            <w:vMerge w:val="continue"/>
            <w:vAlign w:val="center"/>
          </w:tcPr>
          <w:p>
            <w:pPr>
              <w:spacing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8" w:type="dxa"/>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4</w:t>
            </w:r>
          </w:p>
        </w:tc>
        <w:tc>
          <w:tcPr>
            <w:tcW w:w="7710" w:type="dxa"/>
            <w:vAlign w:val="center"/>
          </w:tcPr>
          <w:p>
            <w:pPr>
              <w:rPr>
                <w:rFonts w:ascii="宋体" w:hAnsi="宋体" w:cs="宋体"/>
                <w:bCs/>
                <w:color w:val="auto"/>
                <w:sz w:val="22"/>
                <w:szCs w:val="22"/>
                <w:highlight w:val="none"/>
              </w:rPr>
            </w:pPr>
            <w:r>
              <w:rPr>
                <w:rFonts w:hint="eastAsia" w:ascii="宋体" w:hAnsi="宋体" w:cs="宋体"/>
                <w:bCs/>
                <w:color w:val="auto"/>
                <w:sz w:val="22"/>
                <w:szCs w:val="22"/>
                <w:highlight w:val="none"/>
              </w:rPr>
              <w:t>诚信投标承诺书</w:t>
            </w:r>
          </w:p>
        </w:tc>
        <w:tc>
          <w:tcPr>
            <w:tcW w:w="1256" w:type="dxa"/>
            <w:vMerge w:val="continue"/>
            <w:vAlign w:val="center"/>
          </w:tcPr>
          <w:p>
            <w:pPr>
              <w:spacing w:line="40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70" w:hRule="atLeast"/>
        </w:trPr>
        <w:tc>
          <w:tcPr>
            <w:tcW w:w="888" w:type="dxa"/>
            <w:vAlign w:val="center"/>
          </w:tcPr>
          <w:p>
            <w:pPr>
              <w:overflowPunct w:val="0"/>
              <w:spacing w:line="430" w:lineRule="exact"/>
              <w:jc w:val="center"/>
              <w:rPr>
                <w:rFonts w:ascii="宋体" w:hAnsi="宋体" w:cs="宋体"/>
                <w:bCs/>
                <w:color w:val="auto"/>
                <w:sz w:val="22"/>
                <w:szCs w:val="22"/>
                <w:highlight w:val="none"/>
              </w:rPr>
            </w:pPr>
            <w:r>
              <w:rPr>
                <w:rFonts w:hint="eastAsia" w:ascii="宋体" w:hAnsi="宋体" w:cs="宋体"/>
                <w:bCs/>
                <w:color w:val="auto"/>
                <w:sz w:val="22"/>
                <w:szCs w:val="22"/>
                <w:highlight w:val="none"/>
              </w:rPr>
              <w:t>5</w:t>
            </w:r>
          </w:p>
        </w:tc>
        <w:tc>
          <w:tcPr>
            <w:tcW w:w="7710" w:type="dxa"/>
            <w:vAlign w:val="center"/>
          </w:tcPr>
          <w:p>
            <w:pPr>
              <w:rPr>
                <w:rFonts w:ascii="宋体" w:hAnsi="宋体" w:cs="宋体"/>
                <w:bCs/>
                <w:color w:val="auto"/>
                <w:sz w:val="22"/>
                <w:szCs w:val="22"/>
                <w:highlight w:val="none"/>
              </w:rPr>
            </w:pPr>
            <w:r>
              <w:rPr>
                <w:rFonts w:hint="eastAsia" w:ascii="宋体" w:hAnsi="宋体" w:cs="新宋体"/>
                <w:bCs/>
                <w:color w:val="auto"/>
                <w:sz w:val="22"/>
                <w:szCs w:val="22"/>
                <w:highlight w:val="none"/>
              </w:rPr>
              <w:t>供应商“信用中国”</w:t>
            </w:r>
            <w:r>
              <w:rPr>
                <w:rFonts w:ascii="宋体" w:hAnsi="宋体" w:cs="新宋体"/>
                <w:bCs/>
                <w:color w:val="auto"/>
                <w:sz w:val="22"/>
                <w:szCs w:val="22"/>
                <w:highlight w:val="none"/>
              </w:rPr>
              <w:t>(www.creditchina.gov.cn)</w:t>
            </w:r>
            <w:r>
              <w:rPr>
                <w:rFonts w:hint="eastAsia" w:ascii="宋体" w:hAnsi="宋体" w:cs="新宋体"/>
                <w:bCs/>
                <w:color w:val="auto"/>
                <w:sz w:val="22"/>
                <w:szCs w:val="22"/>
                <w:highlight w:val="none"/>
              </w:rPr>
              <w:t>；“中国政府采购网”（</w:t>
            </w:r>
            <w:r>
              <w:rPr>
                <w:rFonts w:ascii="宋体" w:hAnsi="宋体" w:cs="新宋体"/>
                <w:bCs/>
                <w:color w:val="auto"/>
                <w:sz w:val="22"/>
                <w:szCs w:val="22"/>
                <w:highlight w:val="none"/>
              </w:rPr>
              <w:t>http://www.ccgp.gov.cn/</w:t>
            </w:r>
            <w:r>
              <w:rPr>
                <w:rFonts w:hint="eastAsia" w:ascii="宋体" w:hAnsi="宋体" w:cs="新宋体"/>
                <w:bCs/>
                <w:color w:val="auto"/>
                <w:sz w:val="22"/>
                <w:szCs w:val="22"/>
                <w:highlight w:val="none"/>
              </w:rPr>
              <w:t>）信用记录 网页截图（采购公告发布之日至投标截止时间前）；</w:t>
            </w:r>
          </w:p>
        </w:tc>
        <w:tc>
          <w:tcPr>
            <w:tcW w:w="1256" w:type="dxa"/>
            <w:vAlign w:val="center"/>
          </w:tcPr>
          <w:p>
            <w:pPr>
              <w:spacing w:line="400" w:lineRule="exact"/>
              <w:jc w:val="center"/>
              <w:rPr>
                <w:rFonts w:ascii="宋体" w:hAnsi="宋体" w:cs="宋体"/>
                <w:color w:val="auto"/>
                <w:sz w:val="22"/>
                <w:szCs w:val="22"/>
                <w:highlight w:val="none"/>
              </w:rPr>
            </w:pPr>
          </w:p>
        </w:tc>
      </w:tr>
    </w:tbl>
    <w:p>
      <w:pPr>
        <w:spacing w:line="460" w:lineRule="exact"/>
        <w:rPr>
          <w:rFonts w:ascii="宋体" w:hAnsi="宋体" w:cs="Arial"/>
          <w:b/>
          <w:color w:val="auto"/>
          <w:sz w:val="22"/>
          <w:szCs w:val="22"/>
          <w:highlight w:val="none"/>
        </w:rPr>
      </w:pPr>
      <w:r>
        <w:rPr>
          <w:rFonts w:hint="eastAsia" w:ascii="宋体" w:hAnsi="宋体" w:cs="Arial"/>
          <w:b/>
          <w:color w:val="auto"/>
          <w:sz w:val="22"/>
          <w:szCs w:val="22"/>
          <w:highlight w:val="none"/>
        </w:rPr>
        <w:t>注：金融、保险、通讯等特定行业的全国性企业所设立的区域性分支机构，以及个体工商户、个人独资企业、合伙企业，如果已经依法办理了工商、税务和社保登记手续，并且获得总公司（总机构）授权或能够提供房产权证或其他有效财产证明材料（在资格文件中提供相关材料），证明其具备实际承担责任的能力和法定的缔结合同能力，可以独立参加采购活动，由单位负责人签署相关文件材料；</w:t>
      </w:r>
    </w:p>
    <w:p>
      <w:pPr>
        <w:spacing w:line="430" w:lineRule="exac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（2） 报价文件</w:t>
      </w:r>
    </w:p>
    <w:tbl>
      <w:tblPr>
        <w:tblStyle w:val="35"/>
        <w:tblW w:w="985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88"/>
        <w:gridCol w:w="7695"/>
        <w:gridCol w:w="127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pacing w:line="430" w:lineRule="exact"/>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序号</w:t>
            </w:r>
          </w:p>
        </w:tc>
        <w:tc>
          <w:tcPr>
            <w:tcW w:w="7695" w:type="dxa"/>
            <w:vAlign w:val="center"/>
          </w:tcPr>
          <w:p>
            <w:pPr>
              <w:spacing w:line="430" w:lineRule="exact"/>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内容</w:t>
            </w:r>
          </w:p>
        </w:tc>
        <w:tc>
          <w:tcPr>
            <w:tcW w:w="1271" w:type="dxa"/>
            <w:vAlign w:val="center"/>
          </w:tcPr>
          <w:p>
            <w:pPr>
              <w:spacing w:line="430" w:lineRule="exact"/>
              <w:jc w:val="center"/>
              <w:rPr>
                <w:rFonts w:ascii="宋体" w:hAnsi="宋体" w:cs="宋体"/>
                <w:b/>
                <w:bCs/>
                <w:color w:val="auto"/>
                <w:kern w:val="0"/>
                <w:sz w:val="22"/>
                <w:szCs w:val="22"/>
                <w:highlight w:val="none"/>
              </w:rPr>
            </w:pPr>
            <w:r>
              <w:rPr>
                <w:rFonts w:hint="eastAsia" w:ascii="宋体" w:hAnsi="宋体" w:cs="宋体"/>
                <w:b/>
                <w:bCs/>
                <w:color w:val="auto"/>
                <w:kern w:val="0"/>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pacing w:line="43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1)</w:t>
            </w:r>
          </w:p>
        </w:tc>
        <w:tc>
          <w:tcPr>
            <w:tcW w:w="7695" w:type="dxa"/>
            <w:vAlign w:val="center"/>
          </w:tcPr>
          <w:p>
            <w:pPr>
              <w:spacing w:line="43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开标一览表</w:t>
            </w:r>
          </w:p>
        </w:tc>
        <w:tc>
          <w:tcPr>
            <w:tcW w:w="1271" w:type="dxa"/>
            <w:vMerge w:val="restart"/>
            <w:vAlign w:val="center"/>
          </w:tcPr>
          <w:p>
            <w:pPr>
              <w:spacing w:line="43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附件二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88" w:type="dxa"/>
            <w:vAlign w:val="center"/>
          </w:tcPr>
          <w:p>
            <w:pPr>
              <w:spacing w:line="43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2）</w:t>
            </w:r>
          </w:p>
        </w:tc>
        <w:tc>
          <w:tcPr>
            <w:tcW w:w="7695" w:type="dxa"/>
            <w:vAlign w:val="center"/>
          </w:tcPr>
          <w:p>
            <w:pPr>
              <w:spacing w:line="43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分项报价表</w:t>
            </w:r>
          </w:p>
        </w:tc>
        <w:tc>
          <w:tcPr>
            <w:tcW w:w="1271" w:type="dxa"/>
            <w:vMerge w:val="continue"/>
            <w:vAlign w:val="center"/>
          </w:tcPr>
          <w:p>
            <w:pPr>
              <w:spacing w:line="430" w:lineRule="exact"/>
              <w:jc w:val="center"/>
              <w:rPr>
                <w:rFonts w:ascii="宋体" w:hAnsi="宋体" w:cs="宋体"/>
                <w:color w:val="auto"/>
                <w:kern w:val="0"/>
                <w:sz w:val="22"/>
                <w:szCs w:val="22"/>
                <w:highlight w:val="none"/>
              </w:rPr>
            </w:pPr>
          </w:p>
        </w:tc>
      </w:tr>
    </w:tbl>
    <w:p>
      <w:pPr>
        <w:spacing w:line="430" w:lineRule="exact"/>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（3）商务技术文件</w:t>
      </w:r>
    </w:p>
    <w:tbl>
      <w:tblPr>
        <w:tblStyle w:val="35"/>
        <w:tblW w:w="9854"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97"/>
        <w:gridCol w:w="7715"/>
        <w:gridCol w:w="12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序号</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内容</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投标函</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2）</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技术规格、商务条款偏离表</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90"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3）</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资信证明文件（本部分为技术资信评分内容，投标人根据自身实际情况提供）</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4）</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同类项目业绩表</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附件五</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a</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业绩证明材料</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5)</w:t>
            </w:r>
          </w:p>
        </w:tc>
        <w:tc>
          <w:tcPr>
            <w:tcW w:w="771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highlight w:val="none"/>
              </w:rPr>
            </w:pPr>
            <w:r>
              <w:rPr>
                <w:rFonts w:hint="eastAsia" w:ascii="宋体" w:hAnsi="宋体"/>
                <w:color w:val="auto"/>
                <w:sz w:val="22"/>
                <w:szCs w:val="22"/>
                <w:highlight w:val="none"/>
              </w:rPr>
              <w:t>拟投入技术人员情况</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6)</w:t>
            </w:r>
          </w:p>
        </w:tc>
        <w:tc>
          <w:tcPr>
            <w:tcW w:w="771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cs="宋体"/>
                <w:color w:val="auto"/>
                <w:sz w:val="22"/>
                <w:szCs w:val="22"/>
                <w:highlight w:val="none"/>
              </w:rPr>
            </w:pPr>
            <w:r>
              <w:rPr>
                <w:rFonts w:hint="eastAsia" w:ascii="宋体" w:hAnsi="宋体"/>
                <w:b/>
                <w:color w:val="auto"/>
                <w:sz w:val="22"/>
                <w:szCs w:val="22"/>
                <w:highlight w:val="none"/>
                <w:u w:val="single"/>
              </w:rPr>
              <w:t>针对本次项目采购需求提出的详细方案（包括但不限于技术资信分评分细则要求的各个方案）</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7)</w:t>
            </w:r>
          </w:p>
        </w:tc>
        <w:tc>
          <w:tcPr>
            <w:tcW w:w="7715" w:type="dxa"/>
            <w:tcBorders>
              <w:top w:val="single" w:color="auto" w:sz="4" w:space="0"/>
              <w:left w:val="single" w:color="auto" w:sz="4" w:space="0"/>
              <w:bottom w:val="single" w:color="auto" w:sz="4" w:space="0"/>
              <w:right w:val="single" w:color="auto" w:sz="4" w:space="0"/>
            </w:tcBorders>
          </w:tcPr>
          <w:p>
            <w:pPr>
              <w:spacing w:line="460" w:lineRule="exact"/>
              <w:rPr>
                <w:rFonts w:ascii="宋体" w:hAnsi="宋体"/>
                <w:b/>
                <w:color w:val="auto"/>
                <w:sz w:val="22"/>
                <w:szCs w:val="22"/>
                <w:highlight w:val="none"/>
                <w:u w:val="single"/>
              </w:rPr>
            </w:pPr>
            <w:r>
              <w:rPr>
                <w:rFonts w:hint="eastAsia" w:ascii="宋体" w:hAnsi="宋体"/>
                <w:b/>
                <w:color w:val="auto"/>
                <w:sz w:val="22"/>
                <w:szCs w:val="22"/>
                <w:highlight w:val="none"/>
                <w:u w:val="single"/>
              </w:rPr>
              <w:t>服务承诺</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附件七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8）</w:t>
            </w:r>
          </w:p>
        </w:tc>
        <w:tc>
          <w:tcPr>
            <w:tcW w:w="7715" w:type="dxa"/>
            <w:tcBorders>
              <w:top w:val="single" w:color="auto" w:sz="4" w:space="0"/>
              <w:left w:val="single" w:color="auto" w:sz="4" w:space="0"/>
              <w:bottom w:val="single" w:color="auto" w:sz="4" w:space="0"/>
              <w:right w:val="single" w:color="auto" w:sz="4" w:space="0"/>
            </w:tcBorders>
          </w:tcPr>
          <w:p>
            <w:pPr>
              <w:spacing w:line="400" w:lineRule="exact"/>
              <w:rPr>
                <w:rFonts w:ascii="宋体" w:hAnsi="宋体" w:cs="宋体"/>
                <w:color w:val="auto"/>
                <w:sz w:val="22"/>
                <w:szCs w:val="22"/>
                <w:highlight w:val="none"/>
              </w:rPr>
            </w:pPr>
            <w:r>
              <w:rPr>
                <w:rFonts w:hint="eastAsia" w:ascii="宋体" w:hAnsi="宋体"/>
                <w:color w:val="auto"/>
                <w:sz w:val="22"/>
                <w:szCs w:val="22"/>
                <w:highlight w:val="none"/>
              </w:rPr>
              <w:t>售后服务及其他承诺</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9）</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合理化建议</w:t>
            </w:r>
          </w:p>
        </w:tc>
        <w:tc>
          <w:tcPr>
            <w:tcW w:w="1242"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54" w:hRule="atLeast"/>
        </w:trPr>
        <w:tc>
          <w:tcPr>
            <w:tcW w:w="897" w:type="dxa"/>
            <w:tcBorders>
              <w:top w:val="single" w:color="auto" w:sz="4" w:space="0"/>
              <w:left w:val="single" w:color="auto" w:sz="4" w:space="0"/>
              <w:bottom w:val="single" w:color="auto" w:sz="4" w:space="0"/>
              <w:right w:val="single" w:color="auto" w:sz="4" w:space="0"/>
            </w:tcBorders>
            <w:vAlign w:val="center"/>
          </w:tcPr>
          <w:p>
            <w:pPr>
              <w:spacing w:line="43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10）</w:t>
            </w:r>
          </w:p>
        </w:tc>
        <w:tc>
          <w:tcPr>
            <w:tcW w:w="7715" w:type="dxa"/>
            <w:tcBorders>
              <w:top w:val="single" w:color="auto" w:sz="4" w:space="0"/>
              <w:left w:val="single" w:color="auto" w:sz="4" w:space="0"/>
              <w:bottom w:val="single" w:color="auto" w:sz="4" w:space="0"/>
              <w:right w:val="single" w:color="auto" w:sz="4" w:space="0"/>
            </w:tcBorders>
            <w:vAlign w:val="center"/>
          </w:tcPr>
          <w:p>
            <w:pPr>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结合采购文件评分细则投标人认为需要提供的其他技术资料</w:t>
            </w:r>
          </w:p>
        </w:tc>
        <w:tc>
          <w:tcPr>
            <w:tcW w:w="1242" w:type="dxa"/>
            <w:tcBorders>
              <w:top w:val="single" w:color="auto" w:sz="4" w:space="0"/>
              <w:left w:val="single" w:color="auto" w:sz="4" w:space="0"/>
              <w:bottom w:val="single" w:color="auto" w:sz="4" w:space="0"/>
              <w:right w:val="single" w:color="auto" w:sz="4" w:space="0"/>
            </w:tcBorders>
            <w:vAlign w:val="center"/>
          </w:tcPr>
          <w:p>
            <w:pPr>
              <w:rPr>
                <w:rFonts w:ascii="宋体" w:hAnsi="宋体" w:cs="宋体"/>
                <w:color w:val="auto"/>
                <w:sz w:val="22"/>
                <w:szCs w:val="22"/>
                <w:highlight w:val="none"/>
              </w:rPr>
            </w:pPr>
          </w:p>
        </w:tc>
      </w:tr>
    </w:tbl>
    <w:p>
      <w:pPr>
        <w:spacing w:line="430" w:lineRule="exact"/>
        <w:rPr>
          <w:rFonts w:ascii="宋体" w:hAnsi="宋体" w:cs="hakuyoxingshu7000"/>
          <w:b/>
          <w:color w:val="auto"/>
          <w:kern w:val="0"/>
          <w:sz w:val="22"/>
          <w:szCs w:val="22"/>
          <w:highlight w:val="none"/>
        </w:rPr>
      </w:pPr>
      <w:r>
        <w:rPr>
          <w:rFonts w:hint="eastAsia" w:ascii="宋体" w:hAnsi="宋体" w:cs="hakuyoxingshu7000"/>
          <w:b/>
          <w:color w:val="auto"/>
          <w:kern w:val="0"/>
          <w:sz w:val="22"/>
          <w:szCs w:val="22"/>
          <w:highlight w:val="none"/>
        </w:rPr>
        <w:t>（4） 电子投标文件</w:t>
      </w:r>
    </w:p>
    <w:p>
      <w:pPr>
        <w:tabs>
          <w:tab w:val="left" w:pos="540"/>
        </w:tabs>
        <w:spacing w:line="460" w:lineRule="exact"/>
        <w:ind w:left="425"/>
        <w:rPr>
          <w:rFonts w:ascii="宋体" w:hAnsi="宋体" w:cs="宋体"/>
          <w:b/>
          <w:color w:val="auto"/>
          <w:sz w:val="22"/>
          <w:szCs w:val="22"/>
          <w:highlight w:val="none"/>
        </w:rPr>
      </w:pPr>
      <w:r>
        <w:rPr>
          <w:rFonts w:hint="eastAsia" w:ascii="宋体" w:hAnsi="宋体"/>
          <w:b/>
          <w:color w:val="auto"/>
          <w:sz w:val="22"/>
          <w:szCs w:val="22"/>
          <w:highlight w:val="none"/>
          <w:u w:val="single"/>
        </w:rPr>
        <w:t>电子投标文件为资格文件、商务技术文件、报价文件等三部分完整投标文件签字盖章后的PDF格式扫描文件。投标人需准备U盘</w:t>
      </w:r>
      <w:r>
        <w:rPr>
          <w:rFonts w:ascii="宋体" w:hAnsi="宋体"/>
          <w:b/>
          <w:color w:val="auto"/>
          <w:sz w:val="22"/>
          <w:szCs w:val="22"/>
          <w:highlight w:val="none"/>
          <w:u w:val="single"/>
        </w:rPr>
        <w:t>一</w:t>
      </w:r>
      <w:r>
        <w:rPr>
          <w:rFonts w:hint="eastAsia" w:ascii="宋体" w:hAnsi="宋体"/>
          <w:b/>
          <w:color w:val="auto"/>
          <w:sz w:val="22"/>
          <w:szCs w:val="22"/>
          <w:highlight w:val="none"/>
          <w:u w:val="single"/>
        </w:rPr>
        <w:t>份。电子投标文件密封于“报价文件”密封袋内。</w:t>
      </w:r>
    </w:p>
    <w:p>
      <w:pPr>
        <w:spacing w:line="430" w:lineRule="exact"/>
        <w:ind w:left="187" w:leftChars="85" w:hanging="9" w:hangingChars="4"/>
        <w:rPr>
          <w:rFonts w:ascii="宋体" w:hAnsi="宋体" w:cs="宋体"/>
          <w:bCs/>
          <w:color w:val="auto"/>
          <w:sz w:val="22"/>
          <w:szCs w:val="22"/>
          <w:highlight w:val="none"/>
        </w:rPr>
      </w:pPr>
      <w:r>
        <w:rPr>
          <w:rFonts w:hint="eastAsia" w:ascii="宋体" w:hAnsi="宋体" w:cs="宋体"/>
          <w:b/>
          <w:color w:val="auto"/>
          <w:sz w:val="22"/>
          <w:szCs w:val="22"/>
          <w:highlight w:val="none"/>
        </w:rPr>
        <w:t>说明：</w:t>
      </w:r>
    </w:p>
    <w:p>
      <w:pPr>
        <w:numPr>
          <w:ilvl w:val="0"/>
          <w:numId w:val="11"/>
        </w:numPr>
        <w:tabs>
          <w:tab w:val="left" w:pos="5355"/>
        </w:tabs>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投标人可根据采购文件中的技术规格书以及技术资信评分表，提供投标人认为需要提供的文件和资料。</w:t>
      </w:r>
    </w:p>
    <w:p>
      <w:pPr>
        <w:numPr>
          <w:ilvl w:val="0"/>
          <w:numId w:val="11"/>
        </w:numPr>
        <w:tabs>
          <w:tab w:val="left" w:pos="5355"/>
        </w:tabs>
        <w:spacing w:line="430" w:lineRule="exact"/>
        <w:rPr>
          <w:rFonts w:ascii="宋体" w:hAnsi="宋体" w:cs="宋体"/>
          <w:color w:val="auto"/>
          <w:sz w:val="22"/>
          <w:szCs w:val="22"/>
          <w:highlight w:val="none"/>
        </w:rPr>
      </w:pPr>
      <w:r>
        <w:rPr>
          <w:rFonts w:hint="eastAsia" w:ascii="宋体" w:hAnsi="宋体" w:cs="宋体"/>
          <w:color w:val="auto"/>
          <w:sz w:val="22"/>
          <w:szCs w:val="22"/>
          <w:highlight w:val="none"/>
        </w:rPr>
        <w:t>投标人可在投标文件中对采购文件中的技术要求选用替代标准、补充或更改，但这些替代标准及补充更改必须相当于或优于采购文件中提出的相应技术要求，并使采购人满意。同时在技术偏离表中作出详细说明。</w:t>
      </w:r>
    </w:p>
    <w:p>
      <w:pPr>
        <w:numPr>
          <w:ilvl w:val="1"/>
          <w:numId w:val="10"/>
        </w:numPr>
        <w:tabs>
          <w:tab w:val="left" w:pos="360"/>
          <w:tab w:val="left" w:pos="1135"/>
          <w:tab w:val="clear" w:pos="992"/>
        </w:tabs>
        <w:spacing w:line="460" w:lineRule="exact"/>
        <w:ind w:left="360" w:hanging="360"/>
        <w:rPr>
          <w:rFonts w:ascii="宋体" w:hAnsi="宋体" w:cs="宋体"/>
          <w:b/>
          <w:color w:val="auto"/>
          <w:sz w:val="22"/>
          <w:szCs w:val="22"/>
          <w:highlight w:val="none"/>
        </w:rPr>
      </w:pPr>
      <w:r>
        <w:rPr>
          <w:rFonts w:hint="eastAsia" w:ascii="宋体" w:hAnsi="宋体" w:cs="宋体"/>
          <w:b/>
          <w:color w:val="auto"/>
          <w:sz w:val="22"/>
          <w:szCs w:val="22"/>
          <w:highlight w:val="none"/>
        </w:rPr>
        <w:t>投标文件形式</w:t>
      </w:r>
    </w:p>
    <w:p>
      <w:pPr>
        <w:numPr>
          <w:ilvl w:val="0"/>
          <w:numId w:val="12"/>
        </w:numPr>
        <w:tabs>
          <w:tab w:val="left" w:pos="900"/>
          <w:tab w:val="clear" w:pos="530"/>
        </w:tabs>
        <w:spacing w:line="430" w:lineRule="exact"/>
        <w:ind w:left="900" w:hanging="540"/>
        <w:rPr>
          <w:rFonts w:ascii="宋体" w:hAnsi="宋体" w:cs="宋体"/>
          <w:color w:val="auto"/>
          <w:sz w:val="22"/>
          <w:szCs w:val="22"/>
          <w:highlight w:val="none"/>
        </w:rPr>
      </w:pPr>
      <w:r>
        <w:rPr>
          <w:rFonts w:hint="eastAsia" w:ascii="宋体" w:hAnsi="宋体" w:cs="宋体"/>
          <w:color w:val="auto"/>
          <w:sz w:val="22"/>
          <w:szCs w:val="22"/>
          <w:highlight w:val="none"/>
        </w:rPr>
        <w:t>投标人应根据采购文件中所提供的格式，内容按顺序填写并装订成册；</w:t>
      </w:r>
    </w:p>
    <w:p>
      <w:pPr>
        <w:numPr>
          <w:ilvl w:val="0"/>
          <w:numId w:val="12"/>
        </w:numPr>
        <w:tabs>
          <w:tab w:val="left" w:pos="900"/>
          <w:tab w:val="clear" w:pos="530"/>
        </w:tabs>
        <w:spacing w:line="430" w:lineRule="exact"/>
        <w:ind w:left="900" w:hanging="540"/>
        <w:rPr>
          <w:rFonts w:ascii="宋体" w:hAnsi="宋体" w:cs="宋体"/>
          <w:color w:val="auto"/>
          <w:sz w:val="22"/>
          <w:szCs w:val="22"/>
          <w:highlight w:val="none"/>
        </w:rPr>
      </w:pPr>
      <w:r>
        <w:rPr>
          <w:rFonts w:hint="eastAsia" w:ascii="宋体" w:hAnsi="宋体" w:cs="宋体"/>
          <w:color w:val="auto"/>
          <w:sz w:val="22"/>
          <w:szCs w:val="22"/>
          <w:highlight w:val="none"/>
        </w:rPr>
        <w:t>资格文件、商务技术文件与报价文件分别包装于各自不透明的标函袋中，标函袋不做统一要求。</w:t>
      </w:r>
    </w:p>
    <w:p>
      <w:pPr>
        <w:numPr>
          <w:ilvl w:val="0"/>
          <w:numId w:val="12"/>
        </w:numPr>
        <w:tabs>
          <w:tab w:val="left" w:pos="900"/>
          <w:tab w:val="clear" w:pos="530"/>
        </w:tabs>
        <w:spacing w:line="430" w:lineRule="exact"/>
        <w:ind w:left="900" w:hanging="540"/>
        <w:rPr>
          <w:rFonts w:ascii="宋体" w:hAnsi="宋体" w:cs="宋体"/>
          <w:color w:val="auto"/>
          <w:sz w:val="22"/>
          <w:szCs w:val="22"/>
          <w:highlight w:val="none"/>
        </w:rPr>
      </w:pPr>
      <w:r>
        <w:rPr>
          <w:rFonts w:hint="eastAsia" w:ascii="宋体" w:hAnsi="宋体" w:cs="宋体"/>
          <w:color w:val="auto"/>
          <w:sz w:val="22"/>
          <w:szCs w:val="22"/>
          <w:highlight w:val="none"/>
        </w:rPr>
        <w:t>投标文件应有目录以及页码，以便评委检索；</w:t>
      </w:r>
    </w:p>
    <w:p>
      <w:pPr>
        <w:numPr>
          <w:ilvl w:val="0"/>
          <w:numId w:val="9"/>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投标报价</w:t>
      </w:r>
    </w:p>
    <w:p>
      <w:pPr>
        <w:spacing w:line="460" w:lineRule="exact"/>
        <w:ind w:left="663" w:hanging="663" w:hangingChars="300"/>
        <w:rPr>
          <w:rFonts w:ascii="宋体" w:hAnsi="宋体" w:cs="宋体"/>
          <w:b/>
          <w:bCs/>
          <w:color w:val="auto"/>
          <w:sz w:val="22"/>
          <w:szCs w:val="22"/>
          <w:highlight w:val="none"/>
          <w:u w:val="single"/>
        </w:rPr>
      </w:pPr>
      <w:r>
        <w:rPr>
          <w:rFonts w:hint="eastAsia" w:ascii="宋体" w:hAnsi="宋体" w:cs="宋体"/>
          <w:b/>
          <w:bCs/>
          <w:color w:val="auto"/>
          <w:sz w:val="22"/>
          <w:szCs w:val="22"/>
          <w:highlight w:val="none"/>
        </w:rPr>
        <w:t>4.1  ▲</w:t>
      </w:r>
      <w:r>
        <w:rPr>
          <w:rFonts w:hint="eastAsia" w:ascii="宋体" w:hAnsi="宋体" w:cs="宋体"/>
          <w:b/>
          <w:bCs/>
          <w:color w:val="auto"/>
          <w:sz w:val="22"/>
          <w:szCs w:val="22"/>
          <w:highlight w:val="none"/>
          <w:u w:val="single"/>
        </w:rPr>
        <w:t>本项目投标报价</w:t>
      </w:r>
      <w:r>
        <w:rPr>
          <w:rFonts w:hint="eastAsia" w:ascii="宋体" w:hAnsi="宋体" w:cs="宋体"/>
          <w:b/>
          <w:color w:val="auto"/>
          <w:kern w:val="0"/>
          <w:sz w:val="22"/>
          <w:szCs w:val="22"/>
          <w:highlight w:val="none"/>
          <w:u w:val="single"/>
          <w:lang w:val="zh-CN"/>
        </w:rPr>
        <w:t>指</w:t>
      </w:r>
      <w:r>
        <w:rPr>
          <w:rFonts w:hint="eastAsia" w:ascii="宋体" w:hAnsi="宋体" w:cs="宋体"/>
          <w:b/>
          <w:color w:val="auto"/>
          <w:kern w:val="0"/>
          <w:sz w:val="22"/>
          <w:szCs w:val="22"/>
          <w:highlight w:val="none"/>
          <w:u w:val="single"/>
        </w:rPr>
        <w:t>投标人</w:t>
      </w:r>
      <w:r>
        <w:rPr>
          <w:rFonts w:hint="eastAsia" w:ascii="宋体" w:hAnsi="宋体" w:cs="宋体"/>
          <w:b/>
          <w:color w:val="auto"/>
          <w:kern w:val="0"/>
          <w:sz w:val="22"/>
          <w:szCs w:val="22"/>
          <w:highlight w:val="none"/>
          <w:u w:val="single"/>
          <w:lang w:val="zh-CN"/>
        </w:rPr>
        <w:t>在正确地完全履行合同义务后</w:t>
      </w:r>
      <w:r>
        <w:rPr>
          <w:rFonts w:hint="eastAsia" w:ascii="宋体" w:hAnsi="宋体" w:cs="宋体"/>
          <w:b/>
          <w:color w:val="auto"/>
          <w:kern w:val="0"/>
          <w:sz w:val="22"/>
          <w:szCs w:val="22"/>
          <w:highlight w:val="none"/>
          <w:u w:val="single"/>
        </w:rPr>
        <w:t>采购人</w:t>
      </w:r>
      <w:r>
        <w:rPr>
          <w:rFonts w:hint="eastAsia" w:ascii="宋体" w:hAnsi="宋体" w:cs="宋体"/>
          <w:b/>
          <w:color w:val="auto"/>
          <w:kern w:val="0"/>
          <w:sz w:val="22"/>
          <w:szCs w:val="22"/>
          <w:highlight w:val="none"/>
          <w:u w:val="single"/>
          <w:lang w:val="zh-CN"/>
        </w:rPr>
        <w:t>应支付给</w:t>
      </w:r>
      <w:r>
        <w:rPr>
          <w:rFonts w:hint="eastAsia" w:ascii="宋体" w:hAnsi="宋体" w:cs="宋体"/>
          <w:b/>
          <w:color w:val="auto"/>
          <w:kern w:val="0"/>
          <w:sz w:val="22"/>
          <w:szCs w:val="22"/>
          <w:highlight w:val="none"/>
          <w:u w:val="single"/>
        </w:rPr>
        <w:t>投标人</w:t>
      </w:r>
      <w:r>
        <w:rPr>
          <w:rFonts w:hint="eastAsia" w:ascii="宋体" w:hAnsi="宋体" w:cs="宋体"/>
          <w:b/>
          <w:color w:val="auto"/>
          <w:kern w:val="0"/>
          <w:sz w:val="22"/>
          <w:szCs w:val="22"/>
          <w:highlight w:val="none"/>
          <w:u w:val="single"/>
          <w:lang w:val="zh-CN"/>
        </w:rPr>
        <w:t>所有的价款，</w:t>
      </w:r>
      <w:r>
        <w:rPr>
          <w:rFonts w:hint="eastAsia" w:ascii="宋体" w:hAnsi="宋体" w:cs="宋体"/>
          <w:b/>
          <w:bCs/>
          <w:color w:val="auto"/>
          <w:sz w:val="22"/>
          <w:szCs w:val="22"/>
          <w:highlight w:val="none"/>
          <w:u w:val="single"/>
        </w:rPr>
        <w:t>包括不限于软件的开发、设计、调试、运行、维护费用、培训费用、技术服务、验收（含第三方验收）、售后服务、税金、完成本项目所需的人工费以及采购代理服务费等全部费用，实行固定费用总包干</w:t>
      </w:r>
      <w:r>
        <w:rPr>
          <w:rFonts w:hint="eastAsia" w:ascii="宋体" w:hAnsi="宋体" w:cs="宋体"/>
          <w:b/>
          <w:color w:val="auto"/>
          <w:kern w:val="0"/>
          <w:sz w:val="22"/>
          <w:szCs w:val="22"/>
          <w:highlight w:val="none"/>
          <w:u w:val="single"/>
          <w:lang w:val="zh-CN"/>
        </w:rPr>
        <w:t>投标人应根据上述因素自行考虑含入投标总价</w:t>
      </w:r>
      <w:r>
        <w:rPr>
          <w:rFonts w:hint="eastAsia" w:ascii="宋体" w:hAnsi="宋体" w:cs="宋体"/>
          <w:b/>
          <w:bCs/>
          <w:color w:val="auto"/>
          <w:sz w:val="22"/>
          <w:szCs w:val="22"/>
          <w:highlight w:val="none"/>
          <w:u w:val="single"/>
        </w:rPr>
        <w:t>。</w:t>
      </w:r>
    </w:p>
    <w:p>
      <w:pPr>
        <w:tabs>
          <w:tab w:val="left" w:pos="540"/>
        </w:tabs>
        <w:spacing w:line="460" w:lineRule="exact"/>
        <w:ind w:left="663" w:hanging="663" w:hangingChars="300"/>
        <w:rPr>
          <w:rFonts w:ascii="宋体" w:hAnsi="宋体" w:cs="宋体"/>
          <w:color w:val="auto"/>
          <w:sz w:val="22"/>
          <w:szCs w:val="22"/>
          <w:highlight w:val="none"/>
        </w:rPr>
      </w:pPr>
      <w:r>
        <w:rPr>
          <w:rFonts w:hint="eastAsia" w:ascii="宋体" w:hAnsi="宋体" w:cs="宋体"/>
          <w:b/>
          <w:bCs/>
          <w:color w:val="auto"/>
          <w:sz w:val="22"/>
          <w:szCs w:val="22"/>
          <w:highlight w:val="none"/>
        </w:rPr>
        <w:t xml:space="preserve">4.2   </w:t>
      </w:r>
      <w:r>
        <w:rPr>
          <w:rFonts w:hint="eastAsia" w:ascii="宋体" w:hAnsi="宋体" w:cs="宋体"/>
          <w:color w:val="auto"/>
          <w:sz w:val="22"/>
          <w:szCs w:val="22"/>
          <w:highlight w:val="none"/>
        </w:rPr>
        <w:t>投标人必须按第三部分附件的投标报价一览表（统一格式）、投标分项报价表（均统一格式）的内容填写投标报价及其他事项，并由法定代表人或授权代表签署。</w:t>
      </w:r>
    </w:p>
    <w:p>
      <w:pPr>
        <w:tabs>
          <w:tab w:val="left" w:pos="540"/>
        </w:tabs>
        <w:spacing w:line="460" w:lineRule="exact"/>
        <w:ind w:left="663" w:hanging="663" w:hangingChars="300"/>
        <w:rPr>
          <w:rFonts w:ascii="宋体" w:hAnsi="宋体" w:cs="宋体"/>
          <w:color w:val="auto"/>
          <w:sz w:val="22"/>
          <w:szCs w:val="22"/>
          <w:highlight w:val="none"/>
        </w:rPr>
      </w:pPr>
      <w:r>
        <w:rPr>
          <w:rFonts w:hint="eastAsia" w:ascii="宋体" w:hAnsi="宋体" w:cs="宋体"/>
          <w:b/>
          <w:bCs/>
          <w:color w:val="auto"/>
          <w:sz w:val="22"/>
          <w:szCs w:val="22"/>
          <w:highlight w:val="none"/>
        </w:rPr>
        <w:t xml:space="preserve">4.3   </w:t>
      </w:r>
      <w:r>
        <w:rPr>
          <w:rFonts w:hint="eastAsia" w:ascii="宋体" w:hAnsi="宋体" w:cs="宋体"/>
          <w:color w:val="auto"/>
          <w:sz w:val="22"/>
          <w:szCs w:val="22"/>
          <w:highlight w:val="none"/>
        </w:rPr>
        <w:t>所有投标均以人民币报价。</w:t>
      </w:r>
    </w:p>
    <w:p>
      <w:pPr>
        <w:tabs>
          <w:tab w:val="left" w:pos="540"/>
        </w:tabs>
        <w:spacing w:line="460" w:lineRule="exact"/>
        <w:ind w:left="663" w:hanging="663" w:hangingChars="300"/>
        <w:rPr>
          <w:rFonts w:ascii="宋体" w:hAnsi="宋体" w:cs="宋体"/>
          <w:b/>
          <w:color w:val="auto"/>
          <w:sz w:val="22"/>
          <w:szCs w:val="22"/>
          <w:highlight w:val="none"/>
          <w:u w:val="single"/>
        </w:rPr>
      </w:pPr>
      <w:r>
        <w:rPr>
          <w:rFonts w:hint="eastAsia" w:ascii="宋体" w:hAnsi="宋体" w:cs="宋体"/>
          <w:b/>
          <w:bCs/>
          <w:color w:val="auto"/>
          <w:sz w:val="22"/>
          <w:szCs w:val="22"/>
          <w:highlight w:val="none"/>
        </w:rPr>
        <w:t>4.4   ▲</w:t>
      </w:r>
      <w:r>
        <w:rPr>
          <w:rFonts w:hint="eastAsia" w:ascii="宋体" w:hAnsi="宋体" w:cs="宋体"/>
          <w:b/>
          <w:color w:val="auto"/>
          <w:sz w:val="22"/>
          <w:szCs w:val="22"/>
          <w:highlight w:val="none"/>
          <w:u w:val="single"/>
        </w:rPr>
        <w:t>采购人不接受任何选择报价，只允许一个报价。</w:t>
      </w:r>
    </w:p>
    <w:p>
      <w:pPr>
        <w:tabs>
          <w:tab w:val="left" w:pos="540"/>
        </w:tabs>
        <w:spacing w:line="460" w:lineRule="exact"/>
        <w:ind w:left="663" w:hanging="663" w:hangingChars="300"/>
        <w:rPr>
          <w:rFonts w:ascii="宋体" w:hAnsi="宋体" w:cs="宋体"/>
          <w:b/>
          <w:bCs/>
          <w:color w:val="auto"/>
          <w:sz w:val="22"/>
          <w:szCs w:val="22"/>
          <w:highlight w:val="none"/>
          <w:u w:val="single"/>
        </w:rPr>
      </w:pPr>
      <w:r>
        <w:rPr>
          <w:rFonts w:hint="eastAsia" w:ascii="宋体" w:hAnsi="宋体" w:cs="宋体"/>
          <w:b/>
          <w:bCs/>
          <w:color w:val="auto"/>
          <w:sz w:val="22"/>
          <w:szCs w:val="22"/>
          <w:highlight w:val="none"/>
        </w:rPr>
        <w:t xml:space="preserve">4.5  </w:t>
      </w:r>
      <w:r>
        <w:rPr>
          <w:rFonts w:hint="eastAsia" w:ascii="宋体" w:hAnsi="宋体" w:cs="宋体"/>
          <w:b/>
          <w:color w:val="auto"/>
          <w:sz w:val="22"/>
          <w:szCs w:val="22"/>
          <w:highlight w:val="none"/>
        </w:rPr>
        <w:t>最低报价不能作为中标的保证。</w:t>
      </w:r>
    </w:p>
    <w:p>
      <w:pPr>
        <w:numPr>
          <w:ilvl w:val="0"/>
          <w:numId w:val="9"/>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投标保证金</w:t>
      </w:r>
    </w:p>
    <w:p>
      <w:pPr>
        <w:numPr>
          <w:ilvl w:val="1"/>
          <w:numId w:val="13"/>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投标人须按照投标保证金（金额详见《前附表》）的要求提交投标保证金，否则采购人将不接受其投标。</w:t>
      </w:r>
    </w:p>
    <w:p>
      <w:pPr>
        <w:numPr>
          <w:ilvl w:val="1"/>
          <w:numId w:val="13"/>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中标人的投标保证金在与采购人签订了合同并提交履约保证金后5个工作日内无息退还，未中标人的投标保证金将在确定中标人后5个工作日内无息退还</w:t>
      </w:r>
    </w:p>
    <w:p>
      <w:pPr>
        <w:numPr>
          <w:ilvl w:val="1"/>
          <w:numId w:val="13"/>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bCs/>
          <w:color w:val="auto"/>
          <w:sz w:val="22"/>
          <w:szCs w:val="22"/>
          <w:highlight w:val="none"/>
        </w:rPr>
        <w:t>▲</w:t>
      </w:r>
      <w:r>
        <w:rPr>
          <w:rFonts w:hint="eastAsia" w:ascii="宋体" w:hAnsi="宋体" w:cs="宋体"/>
          <w:b/>
          <w:color w:val="auto"/>
          <w:sz w:val="22"/>
          <w:szCs w:val="22"/>
          <w:highlight w:val="none"/>
          <w:u w:val="single"/>
        </w:rPr>
        <w:t>如发生下列情况之一，投标保证金将不予退还：</w:t>
      </w:r>
    </w:p>
    <w:p>
      <w:pPr>
        <w:numPr>
          <w:ilvl w:val="0"/>
          <w:numId w:val="14"/>
        </w:numPr>
        <w:tabs>
          <w:tab w:val="left" w:pos="360"/>
          <w:tab w:val="clear" w:pos="420"/>
        </w:tabs>
        <w:spacing w:line="430" w:lineRule="exact"/>
        <w:ind w:left="720" w:hanging="72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投标人在采购文件规定的投标有效期内撤回投标；</w:t>
      </w:r>
    </w:p>
    <w:p>
      <w:pPr>
        <w:numPr>
          <w:ilvl w:val="0"/>
          <w:numId w:val="14"/>
        </w:numPr>
        <w:tabs>
          <w:tab w:val="left" w:pos="360"/>
          <w:tab w:val="clear" w:pos="420"/>
        </w:tabs>
        <w:spacing w:line="430" w:lineRule="exact"/>
        <w:ind w:left="720" w:hanging="72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中标人未按中标通知书中规定的时间与采购人签订合同；</w:t>
      </w:r>
    </w:p>
    <w:p>
      <w:pPr>
        <w:numPr>
          <w:ilvl w:val="0"/>
          <w:numId w:val="14"/>
        </w:numPr>
        <w:tabs>
          <w:tab w:val="left" w:pos="360"/>
          <w:tab w:val="clear" w:pos="420"/>
        </w:tabs>
        <w:spacing w:line="430" w:lineRule="exact"/>
        <w:ind w:left="720" w:hanging="72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中标人在规定期限内未能根据采购文件要求提供履约保证金；</w:t>
      </w:r>
    </w:p>
    <w:p>
      <w:pPr>
        <w:numPr>
          <w:ilvl w:val="0"/>
          <w:numId w:val="14"/>
        </w:numPr>
        <w:tabs>
          <w:tab w:val="left" w:pos="360"/>
          <w:tab w:val="clear" w:pos="420"/>
        </w:tabs>
        <w:spacing w:line="430" w:lineRule="exact"/>
        <w:ind w:left="720" w:hanging="72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投标人在采购文件中提供虚假技术指标及参数，经评标委员会确认属实的。</w:t>
      </w:r>
    </w:p>
    <w:p>
      <w:pPr>
        <w:numPr>
          <w:ilvl w:val="0"/>
          <w:numId w:val="14"/>
        </w:numPr>
        <w:tabs>
          <w:tab w:val="left" w:pos="360"/>
          <w:tab w:val="clear" w:pos="420"/>
        </w:tabs>
        <w:spacing w:line="430" w:lineRule="exact"/>
        <w:ind w:left="720" w:hanging="720"/>
        <w:rPr>
          <w:rFonts w:ascii="宋体" w:hAnsi="宋体" w:cs="宋体"/>
          <w:color w:val="auto"/>
          <w:sz w:val="22"/>
          <w:szCs w:val="22"/>
          <w:highlight w:val="none"/>
          <w:u w:val="single"/>
        </w:rPr>
      </w:pPr>
      <w:r>
        <w:rPr>
          <w:rFonts w:hint="eastAsia" w:ascii="宋体" w:hAnsi="宋体" w:cs="宋体"/>
          <w:color w:val="auto"/>
          <w:sz w:val="22"/>
          <w:szCs w:val="22"/>
          <w:highlight w:val="none"/>
          <w:u w:val="single"/>
        </w:rPr>
        <w:t>经采购监督管理部门审查认定投标人有违反《温州市市属国有企业采购管理办法（试行）》等有关法律法规的行为。</w:t>
      </w:r>
    </w:p>
    <w:p>
      <w:pPr>
        <w:numPr>
          <w:ilvl w:val="0"/>
          <w:numId w:val="9"/>
        </w:numPr>
        <w:tabs>
          <w:tab w:val="left" w:pos="540"/>
          <w:tab w:val="clear" w:pos="420"/>
        </w:tabs>
        <w:spacing w:line="460" w:lineRule="exact"/>
        <w:ind w:left="540" w:hanging="540"/>
        <w:rPr>
          <w:rFonts w:ascii="宋体" w:hAnsi="宋体" w:cs="宋体"/>
          <w:b/>
          <w:color w:val="auto"/>
          <w:sz w:val="22"/>
          <w:szCs w:val="22"/>
          <w:highlight w:val="none"/>
        </w:rPr>
      </w:pPr>
      <w:r>
        <w:rPr>
          <w:rFonts w:hint="eastAsia" w:ascii="宋体" w:hAnsi="宋体" w:cs="宋体"/>
          <w:bCs/>
          <w:color w:val="auto"/>
          <w:sz w:val="22"/>
          <w:szCs w:val="22"/>
          <w:highlight w:val="none"/>
        </w:rPr>
        <w:t>投标有效期</w:t>
      </w:r>
    </w:p>
    <w:p>
      <w:pPr>
        <w:numPr>
          <w:ilvl w:val="1"/>
          <w:numId w:val="15"/>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b/>
          <w:color w:val="auto"/>
          <w:sz w:val="22"/>
          <w:szCs w:val="22"/>
          <w:highlight w:val="none"/>
        </w:rPr>
        <w:t>自开标之日起</w:t>
      </w:r>
      <w:r>
        <w:rPr>
          <w:rFonts w:hint="eastAsia" w:ascii="宋体" w:hAnsi="宋体" w:cs="宋体"/>
          <w:b/>
          <w:color w:val="auto"/>
          <w:sz w:val="22"/>
          <w:szCs w:val="22"/>
          <w:highlight w:val="none"/>
          <w:u w:val="single"/>
        </w:rPr>
        <w:t xml:space="preserve"> 90</w:t>
      </w:r>
      <w:r>
        <w:rPr>
          <w:rFonts w:hint="eastAsia" w:ascii="宋体" w:hAnsi="宋体" w:cs="宋体"/>
          <w:b/>
          <w:color w:val="auto"/>
          <w:sz w:val="22"/>
          <w:szCs w:val="22"/>
          <w:highlight w:val="none"/>
        </w:rPr>
        <w:t>天内投标应保持有效。投标有效期短于这个规定期限的投标将视为非响应性投标而予以拒绝。</w:t>
      </w:r>
    </w:p>
    <w:p>
      <w:pPr>
        <w:numPr>
          <w:ilvl w:val="1"/>
          <w:numId w:val="15"/>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特殊情况下，在原投标有效期截止前，采购人可与投标人协商延长投标有效期，这种要求和答复均以书面形式进行。投标人可拒绝接受延期要求，而不会导致投标保证金不予退还。同意延长投标有效期的投标人不得修改投标文件。有关退还和不予退还投标保证金的规定在投标有效期的延长期内继续有效。</w:t>
      </w:r>
    </w:p>
    <w:p>
      <w:pPr>
        <w:numPr>
          <w:ilvl w:val="0"/>
          <w:numId w:val="9"/>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投标文件的签署和规定</w:t>
      </w:r>
    </w:p>
    <w:p>
      <w:pPr>
        <w:numPr>
          <w:ilvl w:val="1"/>
          <w:numId w:val="16"/>
        </w:numPr>
        <w:tabs>
          <w:tab w:val="left" w:pos="540"/>
          <w:tab w:val="clear" w:pos="992"/>
        </w:tabs>
        <w:spacing w:line="460" w:lineRule="exact"/>
        <w:ind w:left="540" w:hanging="540"/>
        <w:rPr>
          <w:rFonts w:ascii="宋体" w:hAnsi="宋体" w:cs="宋体"/>
          <w:color w:val="auto"/>
          <w:sz w:val="22"/>
          <w:szCs w:val="22"/>
          <w:highlight w:val="none"/>
          <w:u w:val="single"/>
        </w:rPr>
      </w:pPr>
      <w:r>
        <w:rPr>
          <w:rFonts w:hint="eastAsia" w:ascii="宋体" w:hAnsi="宋体" w:cs="宋体"/>
          <w:b/>
          <w:color w:val="auto"/>
          <w:sz w:val="22"/>
          <w:szCs w:val="22"/>
          <w:highlight w:val="none"/>
          <w:u w:val="single"/>
        </w:rPr>
        <w:t>投标人应提供投标文件资格文件、商务技术文件、报价文件各一式六份的投标文件，分别装订成册，且单独密封装订（正本与副本允许合并密封）。其中纸质投标文件正本一份、副本五份，共六份。</w:t>
      </w:r>
      <w:r>
        <w:rPr>
          <w:rFonts w:hint="eastAsia" w:ascii="宋体"/>
          <w:b/>
          <w:color w:val="auto"/>
          <w:sz w:val="22"/>
          <w:szCs w:val="22"/>
          <w:highlight w:val="none"/>
          <w:u w:val="single"/>
        </w:rPr>
        <w:t>电子投标文件U盘一份，共一份。</w:t>
      </w:r>
      <w:r>
        <w:rPr>
          <w:rFonts w:hint="eastAsia" w:ascii="宋体" w:hAnsi="宋体" w:cs="宋体"/>
          <w:b/>
          <w:color w:val="auto"/>
          <w:sz w:val="22"/>
          <w:szCs w:val="22"/>
          <w:highlight w:val="none"/>
          <w:u w:val="single"/>
        </w:rPr>
        <w:t>每套投标文件的封面应清楚标明“正本”或“副本”字样，若“正本”与“副本”不符，以“正本”为准。无论中标与否，投标文件均不退还，代理机构具有处置投标文件的一切权利。</w:t>
      </w:r>
    </w:p>
    <w:p>
      <w:pPr>
        <w:numPr>
          <w:ilvl w:val="1"/>
          <w:numId w:val="16"/>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投标文件的正本必须打印或用不褪色的墨水书写，并由法定代表人或其授权代表签署，副本可用正本的复印。</w:t>
      </w:r>
    </w:p>
    <w:p>
      <w:pPr>
        <w:numPr>
          <w:ilvl w:val="1"/>
          <w:numId w:val="16"/>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b/>
          <w:color w:val="auto"/>
          <w:sz w:val="22"/>
          <w:szCs w:val="22"/>
          <w:highlight w:val="none"/>
        </w:rPr>
        <w:t>投标文件如有修改和增删必须由投标文件签字人在修改和增删处旁签署或盖章，方才有效。</w:t>
      </w:r>
    </w:p>
    <w:p>
      <w:pPr>
        <w:numPr>
          <w:ilvl w:val="1"/>
          <w:numId w:val="16"/>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投标文件字迹模糊或在关键的技术、商务条款上表述不清楚，将可能导致其投标被拒绝。</w:t>
      </w:r>
    </w:p>
    <w:p>
      <w:pPr>
        <w:numPr>
          <w:ilvl w:val="0"/>
          <w:numId w:val="9"/>
        </w:numPr>
        <w:tabs>
          <w:tab w:val="left" w:pos="540"/>
          <w:tab w:val="clear" w:pos="420"/>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投标文件的密封及标记</w:t>
      </w:r>
    </w:p>
    <w:p>
      <w:pPr>
        <w:numPr>
          <w:ilvl w:val="1"/>
          <w:numId w:val="17"/>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b/>
          <w:color w:val="auto"/>
          <w:sz w:val="22"/>
          <w:szCs w:val="22"/>
          <w:highlight w:val="none"/>
        </w:rPr>
        <w:t>投标人须将投标文件的“资格文件”、“商务技术文件”、“报价文件”单独密封，且在各自的密封袋上标明“资格文件”、“商务技术文件”、“报价文件”字样。</w:t>
      </w:r>
      <w:r>
        <w:rPr>
          <w:rFonts w:hint="eastAsia" w:ascii="宋体" w:hAnsi="宋体" w:cs="宋体"/>
          <w:color w:val="auto"/>
          <w:sz w:val="22"/>
          <w:szCs w:val="22"/>
          <w:highlight w:val="none"/>
        </w:rPr>
        <w:t>封口处贴上封条，启封处加盖投标单位公章。封皮上写明投标采购项目、采购编号，并注明“开标时启封”字样。</w:t>
      </w:r>
    </w:p>
    <w:p>
      <w:pPr>
        <w:numPr>
          <w:ilvl w:val="1"/>
          <w:numId w:val="17"/>
        </w:numPr>
        <w:tabs>
          <w:tab w:val="left" w:pos="540"/>
          <w:tab w:val="clear" w:pos="992"/>
        </w:tabs>
        <w:spacing w:line="460" w:lineRule="exact"/>
        <w:ind w:left="540" w:hanging="540"/>
        <w:rPr>
          <w:rFonts w:ascii="宋体" w:hAnsi="宋体" w:cs="宋体"/>
          <w:color w:val="auto"/>
          <w:sz w:val="22"/>
          <w:szCs w:val="22"/>
          <w:highlight w:val="none"/>
          <w:u w:val="single"/>
        </w:rPr>
      </w:pPr>
      <w:r>
        <w:rPr>
          <w:rFonts w:hint="eastAsia" w:ascii="宋体" w:hAnsi="宋体" w:cs="宋体"/>
          <w:b/>
          <w:color w:val="auto"/>
          <w:sz w:val="22"/>
          <w:szCs w:val="22"/>
          <w:highlight w:val="none"/>
          <w:u w:val="single"/>
        </w:rPr>
        <w:t>如果投标人未按上述要求密封及加写标记，采购人对投标文件的误投和提前启封不负责任。</w:t>
      </w:r>
    </w:p>
    <w:p>
      <w:pPr>
        <w:pStyle w:val="17"/>
        <w:ind w:firstLine="210"/>
        <w:rPr>
          <w:rFonts w:ascii="宋体" w:hAnsi="宋体" w:cs="宋体"/>
          <w:color w:val="auto"/>
          <w:highlight w:val="none"/>
        </w:rPr>
      </w:pPr>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bookmarkStart w:id="71" w:name="_Toc221356887"/>
      <w:bookmarkStart w:id="72" w:name="_Toc223715998"/>
      <w:bookmarkStart w:id="73" w:name="_Toc262105503"/>
      <w:bookmarkStart w:id="74" w:name="_Toc262049418"/>
      <w:bookmarkStart w:id="75" w:name="_Toc222114879"/>
      <w:bookmarkStart w:id="76" w:name="_Toc245191314"/>
      <w:bookmarkStart w:id="77" w:name="_Toc249758864"/>
      <w:bookmarkStart w:id="78" w:name="_Toc221423619"/>
      <w:bookmarkStart w:id="79" w:name="_Toc245722281"/>
      <w:bookmarkStart w:id="80" w:name="_Toc221356951"/>
      <w:bookmarkStart w:id="81" w:name="_Toc249758712"/>
      <w:bookmarkStart w:id="82" w:name="_Toc221374626"/>
      <w:bookmarkStart w:id="83" w:name="_Toc239145354"/>
      <w:bookmarkStart w:id="84" w:name="_Toc241404202"/>
      <w:bookmarkStart w:id="85" w:name="_Toc246261265"/>
      <w:r>
        <w:rPr>
          <w:rFonts w:hint="eastAsia" w:ascii="宋体" w:hAnsi="宋体" w:cs="宋体"/>
          <w:b/>
          <w:bCs/>
          <w:color w:val="auto"/>
          <w:sz w:val="26"/>
          <w:szCs w:val="26"/>
          <w:highlight w:val="none"/>
        </w:rPr>
        <w:t xml:space="preserve"> </w:t>
      </w:r>
      <w:bookmarkStart w:id="86" w:name="_Toc4932"/>
      <w:r>
        <w:rPr>
          <w:rFonts w:hint="eastAsia" w:ascii="宋体" w:hAnsi="宋体" w:cs="宋体"/>
          <w:b/>
          <w:bCs/>
          <w:color w:val="auto"/>
          <w:sz w:val="26"/>
          <w:szCs w:val="26"/>
          <w:highlight w:val="none"/>
        </w:rPr>
        <w:t>投标文件的递交</w:t>
      </w:r>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pPr>
        <w:numPr>
          <w:ilvl w:val="0"/>
          <w:numId w:val="18"/>
        </w:numPr>
        <w:tabs>
          <w:tab w:val="left" w:pos="540"/>
          <w:tab w:val="clear" w:pos="420"/>
        </w:tabs>
        <w:spacing w:line="460" w:lineRule="exact"/>
        <w:rPr>
          <w:rFonts w:ascii="宋体" w:hAnsi="宋体" w:cs="宋体"/>
          <w:b/>
          <w:color w:val="auto"/>
          <w:sz w:val="22"/>
          <w:szCs w:val="22"/>
          <w:highlight w:val="none"/>
        </w:rPr>
      </w:pPr>
      <w:bookmarkStart w:id="87" w:name="_Toc221423620"/>
      <w:bookmarkStart w:id="88" w:name="_Toc245191315"/>
      <w:bookmarkStart w:id="89" w:name="_Toc249758865"/>
      <w:bookmarkStart w:id="90" w:name="_Toc239145355"/>
      <w:bookmarkStart w:id="91" w:name="_Toc221356952"/>
      <w:bookmarkStart w:id="92" w:name="_Toc222114880"/>
      <w:bookmarkStart w:id="93" w:name="_Toc245722282"/>
      <w:bookmarkStart w:id="94" w:name="_Toc262049419"/>
      <w:bookmarkStart w:id="95" w:name="_Toc223715999"/>
      <w:bookmarkStart w:id="96" w:name="_Toc241404203"/>
      <w:bookmarkStart w:id="97" w:name="_Toc246261266"/>
      <w:bookmarkStart w:id="98" w:name="_Toc249758713"/>
      <w:bookmarkStart w:id="99" w:name="_Toc221356888"/>
      <w:bookmarkStart w:id="100" w:name="_Toc221374627"/>
      <w:bookmarkStart w:id="101" w:name="_Toc262105504"/>
      <w:r>
        <w:rPr>
          <w:rFonts w:hint="eastAsia" w:ascii="宋体" w:hAnsi="宋体" w:cs="宋体"/>
          <w:bCs/>
          <w:color w:val="auto"/>
          <w:sz w:val="22"/>
          <w:szCs w:val="22"/>
          <w:highlight w:val="none"/>
        </w:rPr>
        <w:t>投标文件的递交</w:t>
      </w:r>
    </w:p>
    <w:p>
      <w:pPr>
        <w:numPr>
          <w:ilvl w:val="1"/>
          <w:numId w:val="19"/>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sz w:val="22"/>
          <w:szCs w:val="22"/>
          <w:highlight w:val="none"/>
          <w:u w:val="single"/>
        </w:rPr>
        <w:t>投标文件必须在规定的投标截止时间前送达到指定的收标地点</w:t>
      </w:r>
      <w:r>
        <w:rPr>
          <w:rFonts w:hint="eastAsia" w:ascii="宋体" w:hAnsi="宋体" w:cs="宋体"/>
          <w:b/>
          <w:color w:val="auto"/>
          <w:sz w:val="22"/>
          <w:szCs w:val="22"/>
          <w:highlight w:val="none"/>
        </w:rPr>
        <w:t>；</w:t>
      </w:r>
    </w:p>
    <w:p>
      <w:pPr>
        <w:numPr>
          <w:ilvl w:val="1"/>
          <w:numId w:val="19"/>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sz w:val="22"/>
          <w:szCs w:val="22"/>
          <w:highlight w:val="none"/>
          <w:u w:val="single"/>
        </w:rPr>
        <w:t>投标人如是法定代表人或个体工商户经营者参加投标的，同时递交投标保证金缴纳凭证、法定代表人有效身份证明（原件），由评标委员会确认投标资格</w:t>
      </w:r>
      <w:r>
        <w:rPr>
          <w:rFonts w:hint="eastAsia" w:ascii="宋体" w:hAnsi="宋体" w:cs="宋体"/>
          <w:b/>
          <w:color w:val="auto"/>
          <w:sz w:val="22"/>
          <w:szCs w:val="22"/>
          <w:highlight w:val="none"/>
        </w:rPr>
        <w:t>；</w:t>
      </w:r>
    </w:p>
    <w:p>
      <w:pPr>
        <w:numPr>
          <w:ilvl w:val="1"/>
          <w:numId w:val="19"/>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sz w:val="22"/>
          <w:szCs w:val="22"/>
          <w:highlight w:val="none"/>
          <w:u w:val="single"/>
        </w:rPr>
        <w:t>投标人如是授权代表参加投标的，同时递交投标保证金缴纳凭证、法定代表人授权书（原件）、授权代表有效身份证明（原件），由评标委员会确认投标资格</w:t>
      </w:r>
      <w:r>
        <w:rPr>
          <w:rFonts w:hint="eastAsia" w:ascii="宋体" w:hAnsi="宋体" w:cs="宋体"/>
          <w:b/>
          <w:color w:val="auto"/>
          <w:sz w:val="22"/>
          <w:szCs w:val="22"/>
          <w:highlight w:val="none"/>
        </w:rPr>
        <w:t>。</w:t>
      </w:r>
    </w:p>
    <w:p>
      <w:pPr>
        <w:numPr>
          <w:ilvl w:val="1"/>
          <w:numId w:val="19"/>
        </w:numPr>
        <w:tabs>
          <w:tab w:val="left" w:pos="540"/>
          <w:tab w:val="clear" w:pos="992"/>
        </w:tabs>
        <w:spacing w:line="460" w:lineRule="exact"/>
        <w:ind w:left="540" w:hanging="540"/>
        <w:rPr>
          <w:rFonts w:ascii="宋体" w:hAnsi="宋体" w:cs="宋体"/>
          <w:b/>
          <w:color w:val="auto"/>
          <w:sz w:val="22"/>
          <w:szCs w:val="22"/>
          <w:highlight w:val="none"/>
        </w:rPr>
      </w:pPr>
      <w:r>
        <w:rPr>
          <w:rFonts w:hint="eastAsia" w:ascii="宋体" w:hAnsi="宋体" w:cs="宋体"/>
          <w:b/>
          <w:color w:val="auto"/>
          <w:sz w:val="22"/>
          <w:szCs w:val="22"/>
          <w:highlight w:val="none"/>
        </w:rPr>
        <w:t>▲</w:t>
      </w:r>
      <w:r>
        <w:rPr>
          <w:rFonts w:hint="eastAsia" w:ascii="宋体" w:hAnsi="宋体" w:cs="宋体"/>
          <w:b/>
          <w:color w:val="auto"/>
          <w:sz w:val="22"/>
          <w:szCs w:val="22"/>
          <w:highlight w:val="none"/>
          <w:u w:val="single"/>
        </w:rPr>
        <w:t>投标保证金缴纳凭证、法定代表人授权书原件等如密封在投标文件商务技术文件中，在商务技术文件开启后经查验符合要求亦为有效。</w:t>
      </w:r>
    </w:p>
    <w:p>
      <w:pPr>
        <w:numPr>
          <w:ilvl w:val="0"/>
          <w:numId w:val="18"/>
        </w:numPr>
        <w:tabs>
          <w:tab w:val="left" w:pos="540"/>
          <w:tab w:val="clear" w:pos="420"/>
        </w:tabs>
        <w:spacing w:line="460" w:lineRule="exact"/>
        <w:rPr>
          <w:rFonts w:ascii="宋体" w:hAnsi="宋体" w:cs="宋体"/>
          <w:bCs/>
          <w:color w:val="auto"/>
          <w:sz w:val="22"/>
          <w:szCs w:val="22"/>
          <w:highlight w:val="none"/>
        </w:rPr>
      </w:pPr>
      <w:r>
        <w:rPr>
          <w:rFonts w:hint="eastAsia" w:ascii="宋体" w:hAnsi="宋体" w:cs="宋体"/>
          <w:bCs/>
          <w:color w:val="auto"/>
          <w:sz w:val="22"/>
          <w:szCs w:val="22"/>
          <w:highlight w:val="none"/>
        </w:rPr>
        <w:t>投标文件的修改和撤回</w:t>
      </w:r>
    </w:p>
    <w:p>
      <w:pPr>
        <w:numPr>
          <w:ilvl w:val="1"/>
          <w:numId w:val="20"/>
        </w:numPr>
        <w:tabs>
          <w:tab w:val="left" w:pos="540"/>
          <w:tab w:val="clear" w:pos="992"/>
        </w:tabs>
        <w:spacing w:line="460" w:lineRule="exact"/>
        <w:ind w:left="540" w:hanging="540"/>
        <w:rPr>
          <w:rFonts w:ascii="宋体" w:hAnsi="宋体" w:cs="宋体"/>
          <w:bCs/>
          <w:color w:val="auto"/>
          <w:sz w:val="22"/>
          <w:szCs w:val="22"/>
          <w:highlight w:val="none"/>
        </w:rPr>
      </w:pPr>
      <w:r>
        <w:rPr>
          <w:rFonts w:hint="eastAsia" w:ascii="宋体" w:hAnsi="宋体" w:cs="宋体"/>
          <w:b/>
          <w:color w:val="auto"/>
          <w:sz w:val="22"/>
          <w:szCs w:val="22"/>
          <w:highlight w:val="none"/>
        </w:rPr>
        <w:t>在投标截止时间前，投标人可以用书面形式提出修改或撤回其投标并送达到采购人，但不得影响开标活动的正常进行。</w:t>
      </w:r>
    </w:p>
    <w:p>
      <w:pPr>
        <w:numPr>
          <w:ilvl w:val="1"/>
          <w:numId w:val="20"/>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“投标文件修改”或“投标文件撤回通知”都应密封并在密封袋上写明投标采购项目、编号、投标单位名称，并注明“投标文件修改”或“投标文件撤回通知”字样。</w:t>
      </w:r>
    </w:p>
    <w:p>
      <w:pPr>
        <w:numPr>
          <w:ilvl w:val="1"/>
          <w:numId w:val="20"/>
        </w:numPr>
        <w:tabs>
          <w:tab w:val="left" w:pos="540"/>
          <w:tab w:val="clear" w:pos="992"/>
        </w:tabs>
        <w:spacing w:line="460" w:lineRule="exact"/>
        <w:ind w:left="540" w:hanging="540"/>
        <w:rPr>
          <w:rFonts w:ascii="宋体" w:hAnsi="宋体" w:cs="宋体"/>
          <w:color w:val="auto"/>
          <w:sz w:val="22"/>
          <w:szCs w:val="22"/>
          <w:highlight w:val="none"/>
        </w:rPr>
      </w:pPr>
      <w:r>
        <w:rPr>
          <w:rFonts w:hint="eastAsia" w:ascii="宋体" w:hAnsi="宋体" w:cs="宋体"/>
          <w:bCs/>
          <w:color w:val="auto"/>
          <w:sz w:val="22"/>
          <w:szCs w:val="22"/>
          <w:highlight w:val="none"/>
        </w:rPr>
        <w:t>从投标截止日期起至投标有效期满这段时间内，投标人不得撤回其投标，否则投标保证金将</w:t>
      </w:r>
      <w:r>
        <w:rPr>
          <w:rFonts w:hint="eastAsia" w:ascii="宋体" w:hAnsi="宋体" w:cs="宋体"/>
          <w:color w:val="auto"/>
          <w:sz w:val="22"/>
          <w:szCs w:val="22"/>
          <w:highlight w:val="none"/>
        </w:rPr>
        <w:t>被不予退还。</w:t>
      </w:r>
    </w:p>
    <w:p>
      <w:pPr>
        <w:numPr>
          <w:ilvl w:val="0"/>
          <w:numId w:val="18"/>
        </w:numPr>
        <w:tabs>
          <w:tab w:val="left" w:pos="540"/>
          <w:tab w:val="clear" w:pos="420"/>
        </w:tabs>
        <w:spacing w:line="460" w:lineRule="exact"/>
        <w:rPr>
          <w:rFonts w:ascii="宋体" w:hAnsi="宋体" w:cs="宋体"/>
          <w:b/>
          <w:color w:val="auto"/>
          <w:sz w:val="22"/>
          <w:szCs w:val="22"/>
          <w:highlight w:val="none"/>
        </w:rPr>
      </w:pPr>
      <w:r>
        <w:rPr>
          <w:rFonts w:hint="eastAsia" w:ascii="宋体" w:hAnsi="宋体" w:cs="宋体"/>
          <w:b/>
          <w:color w:val="auto"/>
          <w:sz w:val="22"/>
          <w:szCs w:val="22"/>
          <w:highlight w:val="none"/>
          <w:u w:val="single"/>
        </w:rPr>
        <w:t>▲</w:t>
      </w:r>
      <w:r>
        <w:rPr>
          <w:rFonts w:hint="eastAsia" w:ascii="宋体" w:hAnsi="宋体" w:cs="宋体"/>
          <w:b/>
          <w:bCs/>
          <w:color w:val="auto"/>
          <w:sz w:val="22"/>
          <w:szCs w:val="22"/>
          <w:highlight w:val="none"/>
          <w:u w:val="single"/>
        </w:rPr>
        <w:t>发生下列情况之一的投标文件将不予受理</w:t>
      </w:r>
      <w:r>
        <w:rPr>
          <w:rFonts w:hint="eastAsia" w:ascii="宋体" w:hAnsi="宋体" w:cs="宋体"/>
          <w:bCs/>
          <w:color w:val="auto"/>
          <w:sz w:val="22"/>
          <w:szCs w:val="22"/>
          <w:highlight w:val="none"/>
        </w:rPr>
        <w:t>：</w:t>
      </w:r>
    </w:p>
    <w:p>
      <w:pPr>
        <w:numPr>
          <w:ilvl w:val="1"/>
          <w:numId w:val="21"/>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bCs/>
          <w:color w:val="auto"/>
          <w:sz w:val="22"/>
          <w:szCs w:val="22"/>
          <w:highlight w:val="none"/>
          <w:u w:val="single"/>
        </w:rPr>
        <w:t>在投标截止时间以后送达的投标文件；</w:t>
      </w:r>
    </w:p>
    <w:p>
      <w:pPr>
        <w:numPr>
          <w:ilvl w:val="1"/>
          <w:numId w:val="21"/>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bCs/>
          <w:color w:val="auto"/>
          <w:sz w:val="22"/>
          <w:szCs w:val="22"/>
          <w:highlight w:val="none"/>
          <w:u w:val="single"/>
        </w:rPr>
        <w:t>未购买采购文件；</w:t>
      </w:r>
    </w:p>
    <w:p>
      <w:pPr>
        <w:numPr>
          <w:ilvl w:val="1"/>
          <w:numId w:val="21"/>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未递交投标保证金；</w:t>
      </w:r>
    </w:p>
    <w:p>
      <w:pPr>
        <w:numPr>
          <w:ilvl w:val="1"/>
          <w:numId w:val="21"/>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未密封或未装订的投标文件及由于包装不妥在送达途中严重破损或失散的投标文件；</w:t>
      </w:r>
    </w:p>
    <w:p>
      <w:pPr>
        <w:numPr>
          <w:ilvl w:val="1"/>
          <w:numId w:val="21"/>
        </w:numPr>
        <w:tabs>
          <w:tab w:val="left" w:pos="540"/>
          <w:tab w:val="clear" w:pos="992"/>
        </w:tabs>
        <w:spacing w:line="460" w:lineRule="exact"/>
        <w:ind w:left="540" w:hanging="540"/>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以电讯形式递交的投标文件。</w:t>
      </w:r>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r>
        <w:rPr>
          <w:rFonts w:hint="eastAsia" w:ascii="宋体" w:hAnsi="宋体" w:cs="宋体"/>
          <w:b/>
          <w:bCs/>
          <w:color w:val="auto"/>
          <w:sz w:val="26"/>
          <w:szCs w:val="26"/>
          <w:highlight w:val="none"/>
        </w:rPr>
        <w:t xml:space="preserve"> </w:t>
      </w:r>
      <w:bookmarkStart w:id="102" w:name="_Toc4653"/>
      <w:r>
        <w:rPr>
          <w:rFonts w:hint="eastAsia" w:ascii="宋体" w:hAnsi="宋体" w:cs="宋体"/>
          <w:b/>
          <w:bCs/>
          <w:color w:val="auto"/>
          <w:sz w:val="26"/>
          <w:szCs w:val="26"/>
          <w:highlight w:val="none"/>
        </w:rPr>
        <w:t>开标和评标</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p>
      <w:pPr>
        <w:numPr>
          <w:ilvl w:val="0"/>
          <w:numId w:val="22"/>
        </w:numPr>
        <w:tabs>
          <w:tab w:val="left" w:pos="540"/>
          <w:tab w:val="clear" w:pos="420"/>
        </w:tabs>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评标委员会</w:t>
      </w:r>
    </w:p>
    <w:p>
      <w:pPr>
        <w:spacing w:line="440" w:lineRule="exact"/>
        <w:ind w:left="540" w:leftChars="257"/>
        <w:rPr>
          <w:rFonts w:ascii="宋体" w:hAnsi="宋体" w:cs="宋体"/>
          <w:bCs/>
          <w:color w:val="auto"/>
          <w:sz w:val="22"/>
          <w:szCs w:val="22"/>
          <w:highlight w:val="none"/>
        </w:rPr>
      </w:pPr>
      <w:r>
        <w:rPr>
          <w:rFonts w:hint="eastAsia" w:ascii="宋体" w:hAnsi="宋体" w:cs="宋体"/>
          <w:bCs/>
          <w:color w:val="auto"/>
          <w:sz w:val="22"/>
          <w:szCs w:val="22"/>
          <w:highlight w:val="none"/>
        </w:rPr>
        <w:t>采购人依法组建评标委员会。评标委员会的成员在评标过程中必须严格遵守《温州市市属国有企业采购管理办法（试行）》等有关法律、法规的规定。</w:t>
      </w:r>
    </w:p>
    <w:p>
      <w:pPr>
        <w:numPr>
          <w:ilvl w:val="0"/>
          <w:numId w:val="22"/>
        </w:numPr>
        <w:tabs>
          <w:tab w:val="left" w:pos="540"/>
          <w:tab w:val="clear" w:pos="420"/>
        </w:tabs>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评标过程的保密性</w:t>
      </w:r>
    </w:p>
    <w:p>
      <w:pPr>
        <w:spacing w:line="440" w:lineRule="exact"/>
        <w:ind w:left="540" w:leftChars="257"/>
        <w:rPr>
          <w:rFonts w:ascii="宋体" w:hAnsi="宋体" w:cs="宋体"/>
          <w:b/>
          <w:bCs/>
          <w:color w:val="auto"/>
          <w:sz w:val="22"/>
          <w:szCs w:val="22"/>
          <w:highlight w:val="none"/>
        </w:rPr>
      </w:pPr>
      <w:r>
        <w:rPr>
          <w:rFonts w:hint="eastAsia" w:ascii="宋体" w:hAnsi="宋体" w:cs="宋体"/>
          <w:b/>
          <w:bCs/>
          <w:color w:val="auto"/>
          <w:sz w:val="22"/>
          <w:szCs w:val="22"/>
          <w:highlight w:val="none"/>
        </w:rPr>
        <w:t>开标后直至向中标人授予合同时止，凡与评审有关的资料均不得向投标人及与评标无关人员透露。如果投标人在评标过程中试图向采购人和评标委员会施加影响，其投标将被拒绝。</w:t>
      </w:r>
    </w:p>
    <w:p>
      <w:pPr>
        <w:numPr>
          <w:ilvl w:val="0"/>
          <w:numId w:val="22"/>
        </w:numPr>
        <w:tabs>
          <w:tab w:val="left" w:pos="540"/>
          <w:tab w:val="clear" w:pos="420"/>
        </w:tabs>
        <w:spacing w:line="440" w:lineRule="exact"/>
        <w:rPr>
          <w:rFonts w:ascii="宋体" w:hAnsi="宋体" w:cs="宋体"/>
          <w:b/>
          <w:bCs/>
          <w:color w:val="auto"/>
          <w:sz w:val="22"/>
          <w:szCs w:val="22"/>
          <w:highlight w:val="none"/>
        </w:rPr>
      </w:pPr>
      <w:r>
        <w:rPr>
          <w:rFonts w:hint="eastAsia" w:ascii="宋体" w:hAnsi="宋体" w:cs="宋体"/>
          <w:bCs/>
          <w:color w:val="auto"/>
          <w:sz w:val="22"/>
          <w:szCs w:val="22"/>
          <w:highlight w:val="none"/>
        </w:rPr>
        <w:t>开标、评标</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 xml:space="preserve">按采购文件规定的时间、地点开启各投标人的投标文件。开标前，首先检查投标文件的密封情况，确认无误后开启投标文件（资格文件、商务技术文件）。 </w:t>
      </w:r>
    </w:p>
    <w:p>
      <w:pPr>
        <w:numPr>
          <w:ilvl w:val="1"/>
          <w:numId w:val="23"/>
        </w:numPr>
        <w:tabs>
          <w:tab w:val="left" w:pos="535"/>
        </w:tabs>
        <w:overflowPunct w:val="0"/>
        <w:spacing w:line="440" w:lineRule="exact"/>
        <w:ind w:left="535" w:hanging="535"/>
        <w:rPr>
          <w:rFonts w:ascii="宋体" w:hAnsi="宋体" w:cs="宋体"/>
          <w:bCs/>
          <w:color w:val="auto"/>
          <w:sz w:val="22"/>
          <w:szCs w:val="22"/>
          <w:highlight w:val="none"/>
        </w:rPr>
      </w:pPr>
      <w:r>
        <w:rPr>
          <w:rFonts w:hint="eastAsia" w:ascii="宋体" w:hAnsi="宋体" w:cs="宋体"/>
          <w:bCs/>
          <w:color w:val="auto"/>
          <w:sz w:val="22"/>
          <w:szCs w:val="22"/>
          <w:highlight w:val="none"/>
        </w:rPr>
        <w:t>投标文件的初审。初审分为资格性审查和符合性检查。</w:t>
      </w:r>
    </w:p>
    <w:p>
      <w:pPr>
        <w:overflowPunct w:val="0"/>
        <w:spacing w:line="440" w:lineRule="exact"/>
        <w:ind w:firstLine="110" w:firstLineChars="50"/>
        <w:rPr>
          <w:rFonts w:ascii="宋体" w:hAnsi="宋体" w:cs="宋体"/>
          <w:bCs/>
          <w:color w:val="auto"/>
          <w:sz w:val="22"/>
          <w:szCs w:val="22"/>
          <w:highlight w:val="none"/>
        </w:rPr>
      </w:pPr>
      <w:r>
        <w:rPr>
          <w:rFonts w:hint="eastAsia" w:ascii="宋体" w:hAnsi="宋体" w:cs="宋体"/>
          <w:bCs/>
          <w:color w:val="auto"/>
          <w:sz w:val="22"/>
          <w:szCs w:val="22"/>
          <w:highlight w:val="none"/>
        </w:rPr>
        <w:t>1)</w:t>
      </w:r>
      <w:r>
        <w:rPr>
          <w:rFonts w:hint="eastAsia" w:ascii="宋体" w:hAnsi="宋体" w:cs="宋体"/>
          <w:bCs/>
          <w:color w:val="auto"/>
          <w:sz w:val="22"/>
          <w:szCs w:val="22"/>
          <w:highlight w:val="none"/>
        </w:rPr>
        <w:tab/>
      </w:r>
      <w:r>
        <w:rPr>
          <w:rFonts w:hint="eastAsia" w:ascii="宋体" w:hAnsi="宋体" w:cs="宋体"/>
          <w:bCs/>
          <w:color w:val="auto"/>
          <w:sz w:val="22"/>
          <w:szCs w:val="22"/>
          <w:highlight w:val="none"/>
        </w:rPr>
        <w:t>资格性审查。</w:t>
      </w:r>
    </w:p>
    <w:p>
      <w:pPr>
        <w:pStyle w:val="55"/>
        <w:tabs>
          <w:tab w:val="left" w:pos="425"/>
        </w:tabs>
        <w:overflowPunct w:val="0"/>
        <w:spacing w:line="440" w:lineRule="exact"/>
        <w:ind w:left="420" w:firstLine="0" w:firstLineChars="0"/>
        <w:rPr>
          <w:rFonts w:ascii="宋体" w:hAnsi="宋体" w:cs="宋体"/>
          <w:bCs/>
          <w:color w:val="auto"/>
          <w:sz w:val="22"/>
          <w:szCs w:val="22"/>
          <w:highlight w:val="none"/>
        </w:rPr>
      </w:pPr>
      <w:r>
        <w:rPr>
          <w:rFonts w:hint="eastAsia" w:ascii="宋体" w:hAnsi="宋体" w:cs="宋体"/>
          <w:bCs/>
          <w:color w:val="auto"/>
          <w:sz w:val="22"/>
          <w:szCs w:val="22"/>
          <w:highlight w:val="none"/>
        </w:rPr>
        <w:t>依据法律、法规和采购文件的规定，采购人或代理机构在开启各投标人资格证明文件后，对各投标人进行投标资格审查，审查内容包括但不仅限于投标文件所提交证明材料是否能证明符合本项目对合格投标人的实质性要求。采购人或代理机构对投标人所提供的资格证明材料仅负审核的责任。如发现投标人所提供的资格证明材料不合法或不真实，采购人可取消其中标资格并追究法律责任。通过资格审查视作具备投标资格，审查不合格的投标文件将不进入后续详细评审。</w:t>
      </w:r>
    </w:p>
    <w:p>
      <w:p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2)</w:t>
      </w:r>
      <w:r>
        <w:rPr>
          <w:rFonts w:hint="eastAsia" w:ascii="宋体" w:hAnsi="宋体" w:cs="宋体"/>
          <w:bCs/>
          <w:color w:val="auto"/>
          <w:sz w:val="22"/>
          <w:szCs w:val="22"/>
          <w:highlight w:val="none"/>
        </w:rPr>
        <w:tab/>
      </w:r>
      <w:r>
        <w:rPr>
          <w:rFonts w:hint="eastAsia" w:ascii="宋体" w:hAnsi="宋体" w:cs="宋体"/>
          <w:bCs/>
          <w:color w:val="auto"/>
          <w:sz w:val="22"/>
          <w:szCs w:val="22"/>
          <w:highlight w:val="none"/>
        </w:rPr>
        <w:t>符合性检查。依据采购文件的规定，从投标文件中的有效性、完整性和对采购文件的响应程度进行审查。</w:t>
      </w:r>
    </w:p>
    <w:p>
      <w:pPr>
        <w:overflowPunct w:val="0"/>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3)</w:t>
      </w:r>
      <w:r>
        <w:rPr>
          <w:rFonts w:hint="eastAsia" w:ascii="宋体" w:hAnsi="宋体" w:cs="宋体"/>
          <w:b/>
          <w:bCs/>
          <w:color w:val="auto"/>
          <w:sz w:val="22"/>
          <w:szCs w:val="22"/>
          <w:highlight w:val="none"/>
        </w:rPr>
        <w:t xml:space="preserve"> </w:t>
      </w:r>
      <w:r>
        <w:rPr>
          <w:rFonts w:hint="eastAsia" w:ascii="宋体" w:hAnsi="宋体" w:cs="宋体"/>
          <w:b/>
          <w:color w:val="auto"/>
          <w:kern w:val="0"/>
          <w:sz w:val="22"/>
          <w:szCs w:val="22"/>
          <w:highlight w:val="none"/>
        </w:rPr>
        <w:t>▲</w:t>
      </w:r>
      <w:r>
        <w:rPr>
          <w:rFonts w:hint="eastAsia" w:ascii="宋体" w:hAnsi="宋体" w:cs="宋体"/>
          <w:b/>
          <w:bCs/>
          <w:color w:val="auto"/>
          <w:sz w:val="22"/>
          <w:szCs w:val="22"/>
          <w:highlight w:val="none"/>
          <w:u w:val="single"/>
        </w:rPr>
        <w:t>通过资格性审查与符合性审查的商务技术文件由评委进行综合评审，审查确认未通过的商务技术文件不予评审。</w:t>
      </w:r>
    </w:p>
    <w:p>
      <w:pPr>
        <w:numPr>
          <w:ilvl w:val="1"/>
          <w:numId w:val="23"/>
        </w:numPr>
        <w:tabs>
          <w:tab w:val="left" w:pos="540"/>
        </w:tabs>
        <w:spacing w:line="440" w:lineRule="exact"/>
        <w:ind w:left="540" w:hanging="540"/>
        <w:rPr>
          <w:rFonts w:ascii="宋体" w:hAnsi="宋体" w:cs="宋体"/>
          <w:b/>
          <w:bCs/>
          <w:color w:val="auto"/>
          <w:sz w:val="22"/>
          <w:szCs w:val="22"/>
          <w:highlight w:val="none"/>
          <w:u w:val="single"/>
        </w:rPr>
      </w:pP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u w:val="single"/>
        </w:rPr>
        <w:t>在对各投标人的投标文件进行综合评审时，投标文件有下列情况之一的，经评标委员会认定后按无效标处理：</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投标文件中要求投标人加盖投标人公章的地方无投标人公章的；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投标文件中要求投标人法定代表人或授权代表签字的地方无法定代表人签字或其授权代表签字的；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不具备采购文件中规定的资格要求的；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报价超过采购文件中规定的预算金额或者最高限价的；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投标文件含有采购人不能接受的附加条件的；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经评标委员会认定投标人串通投标的；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同时出现两种及以上不一致价格且修正后投标人不确认报价的；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报价明显低于其他通过符合性审查投标人的报价，且在评标现场合理的时间内不能证明其报价合理性的；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sz w:val="22"/>
          <w:szCs w:val="22"/>
          <w:highlight w:val="none"/>
          <w:u w:val="single"/>
        </w:rPr>
        <w:t>在资格文件或商务技术文件中出现投标报价的；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bCs/>
          <w:color w:val="auto"/>
          <w:kern w:val="0"/>
          <w:sz w:val="22"/>
          <w:szCs w:val="22"/>
          <w:highlight w:val="none"/>
          <w:u w:val="single"/>
        </w:rPr>
        <w:t>授权代表</w:t>
      </w:r>
      <w:r>
        <w:rPr>
          <w:rFonts w:hint="eastAsia" w:ascii="宋体" w:hAnsi="宋体" w:cs="宋体"/>
          <w:b/>
          <w:color w:val="auto"/>
          <w:kern w:val="0"/>
          <w:sz w:val="22"/>
          <w:szCs w:val="22"/>
          <w:highlight w:val="none"/>
          <w:u w:val="single"/>
        </w:rPr>
        <w:t>无法定代表人合法、有效委托的；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sz w:val="22"/>
          <w:szCs w:val="22"/>
          <w:highlight w:val="none"/>
          <w:u w:val="single"/>
        </w:rPr>
        <w:t>提供了虚假文件资料，有弄虚作假行为的；</w:t>
      </w:r>
    </w:p>
    <w:p>
      <w:pPr>
        <w:numPr>
          <w:ilvl w:val="0"/>
          <w:numId w:val="24"/>
        </w:numPr>
        <w:spacing w:line="440" w:lineRule="exact"/>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评标委员会认定不符合法律、法规和采购文件中规定的其他实质性要求的。</w:t>
      </w:r>
    </w:p>
    <w:p>
      <w:pPr>
        <w:numPr>
          <w:ilvl w:val="1"/>
          <w:numId w:val="23"/>
        </w:numPr>
        <w:tabs>
          <w:tab w:val="left" w:pos="540"/>
        </w:tabs>
        <w:spacing w:line="440" w:lineRule="exact"/>
        <w:ind w:left="540" w:hanging="540"/>
        <w:rPr>
          <w:rFonts w:ascii="宋体" w:hAnsi="宋体" w:cs="宋体"/>
          <w:b/>
          <w:bCs/>
          <w:color w:val="auto"/>
          <w:sz w:val="22"/>
          <w:szCs w:val="22"/>
          <w:highlight w:val="none"/>
          <w:u w:val="single"/>
        </w:rPr>
      </w:pPr>
      <w:r>
        <w:rPr>
          <w:rFonts w:hint="eastAsia" w:ascii="宋体" w:hAnsi="宋体" w:cs="宋体"/>
          <w:b/>
          <w:bCs/>
          <w:color w:val="auto"/>
          <w:sz w:val="22"/>
          <w:szCs w:val="22"/>
          <w:highlight w:val="none"/>
          <w:u w:val="single"/>
        </w:rPr>
        <w:t>▲有下列情形之一的，视为投标人串通投标，其投标无效：</w:t>
      </w:r>
    </w:p>
    <w:p>
      <w:pPr>
        <w:pStyle w:val="55"/>
        <w:spacing w:line="440" w:lineRule="exact"/>
        <w:ind w:left="425" w:firstLine="0" w:firstLineChars="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1)不同投标人的投标文件由同一单位或者个人编制；</w:t>
      </w:r>
    </w:p>
    <w:p>
      <w:pPr>
        <w:pStyle w:val="55"/>
        <w:spacing w:line="440" w:lineRule="exact"/>
        <w:ind w:left="425" w:firstLine="0" w:firstLineChars="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2)不同投标人委托同一单位或者个人办理投标事宜；</w:t>
      </w:r>
    </w:p>
    <w:p>
      <w:pPr>
        <w:pStyle w:val="55"/>
        <w:spacing w:line="440" w:lineRule="exact"/>
        <w:ind w:left="425" w:firstLine="0" w:firstLineChars="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3)不同投标人的投标文件载明的项目管理成员或者联系人员为同一人；</w:t>
      </w:r>
    </w:p>
    <w:p>
      <w:pPr>
        <w:pStyle w:val="55"/>
        <w:spacing w:line="440" w:lineRule="exact"/>
        <w:ind w:left="425" w:firstLine="0" w:firstLineChars="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4）不同投标人的投标文件异常一致或者投标报价呈规律性差异；</w:t>
      </w:r>
    </w:p>
    <w:p>
      <w:pPr>
        <w:pStyle w:val="55"/>
        <w:spacing w:line="440" w:lineRule="exact"/>
        <w:ind w:left="425" w:firstLine="0" w:firstLineChars="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5）不同投标人的投标文件相互混装；</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开启报价文件</w:t>
      </w:r>
    </w:p>
    <w:p>
      <w:pPr>
        <w:numPr>
          <w:ilvl w:val="0"/>
          <w:numId w:val="25"/>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开报价文件时邀请所有投标人代表参加，参加开标的代表应准时出席并签名报到以证明其出席。投标人代表未参加开标会的，事后不得对开标过程和开标结果提出异议。</w:t>
      </w:r>
    </w:p>
    <w:p>
      <w:pPr>
        <w:numPr>
          <w:ilvl w:val="0"/>
          <w:numId w:val="25"/>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宣布对各投标人有效身份证件、投标保证金等审查结果和商务技术文件得分情况。</w:t>
      </w:r>
    </w:p>
    <w:p>
      <w:pPr>
        <w:numPr>
          <w:ilvl w:val="0"/>
          <w:numId w:val="25"/>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检查有效投标人“报价文件”的密封情况，确认无误后开启“报价文件”，唱读“开标一览表”全部内容。唱读结束后，投标人代表应对唱读内容及记录结果当场进行校核和签字确认，如有异议应当场提出，否则视为默许同意。</w:t>
      </w:r>
    </w:p>
    <w:p>
      <w:pPr>
        <w:numPr>
          <w:ilvl w:val="0"/>
          <w:numId w:val="25"/>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开标时没有启封和宣读的投标文件，原封退回给投标人。</w:t>
      </w:r>
    </w:p>
    <w:p>
      <w:pPr>
        <w:numPr>
          <w:ilvl w:val="0"/>
          <w:numId w:val="25"/>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开报价文件时，采购人指定专人作好记录，存档备查。</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“报价文件”开启后，由评标委员会对各投标人的商务报价进行核查，核查时发现投标报价内容不清楚可要求投标人书面澄清，计算上的错误，可按下面方法修正：</w:t>
      </w:r>
    </w:p>
    <w:p>
      <w:pPr>
        <w:numPr>
          <w:ilvl w:val="0"/>
          <w:numId w:val="26"/>
        </w:numPr>
        <w:tabs>
          <w:tab w:val="left" w:pos="720"/>
          <w:tab w:val="clear" w:pos="420"/>
        </w:tabs>
        <w:spacing w:line="440" w:lineRule="exact"/>
        <w:ind w:firstLine="6"/>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文件中开标一览表内容与投标文件中相应内容不一致的，以开标一览表为准；投标文件的大写金额和小写金额不一致的，以大写金额为准；单价金额小数点或者百分比有明显错位的，以开标一览表的总价为准，并修改单价；总价金额与按单价汇总金额不一致的，以单价金额计算结果为准。</w:t>
      </w:r>
    </w:p>
    <w:p>
      <w:pPr>
        <w:numPr>
          <w:ilvl w:val="0"/>
          <w:numId w:val="26"/>
        </w:numPr>
        <w:tabs>
          <w:tab w:val="left" w:pos="720"/>
          <w:tab w:val="clear" w:pos="420"/>
        </w:tabs>
        <w:spacing w:line="440" w:lineRule="exact"/>
        <w:ind w:firstLine="6"/>
        <w:rPr>
          <w:rFonts w:ascii="宋体" w:hAnsi="宋体" w:cs="宋体"/>
          <w:b/>
          <w:color w:val="auto"/>
          <w:kern w:val="0"/>
          <w:sz w:val="22"/>
          <w:szCs w:val="22"/>
          <w:highlight w:val="none"/>
        </w:rPr>
      </w:pPr>
      <w:r>
        <w:rPr>
          <w:rFonts w:hint="eastAsia" w:ascii="宋体" w:hAnsi="宋体" w:cs="宋体"/>
          <w:b/>
          <w:color w:val="auto"/>
          <w:kern w:val="0"/>
          <w:sz w:val="22"/>
          <w:szCs w:val="22"/>
          <w:highlight w:val="none"/>
        </w:rPr>
        <w:t>如果投标人不接受对其价格错误进行修正，其投标无效。</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在详细评标之前，评标委员会要审查每份投标文件是否实质上响应了采购文件的要求。实质上响应的投标应该是与采购文件要求的全部条款、条件和规格基本相符。没有重大偏离。</w:t>
      </w:r>
      <w:r>
        <w:rPr>
          <w:rFonts w:hint="eastAsia" w:ascii="宋体" w:hAnsi="宋体" w:cs="宋体"/>
          <w:b/>
          <w:bCs/>
          <w:color w:val="auto"/>
          <w:sz w:val="22"/>
          <w:szCs w:val="22"/>
          <w:highlight w:val="none"/>
        </w:rPr>
        <w:t>评标委员会决定投标的响应性只根据投标文件本身的内容，而不寻求外部的证据。</w:t>
      </w:r>
    </w:p>
    <w:p>
      <w:pPr>
        <w:numPr>
          <w:ilvl w:val="1"/>
          <w:numId w:val="23"/>
        </w:numPr>
        <w:tabs>
          <w:tab w:val="left" w:pos="540"/>
        </w:tabs>
        <w:spacing w:line="440" w:lineRule="exact"/>
        <w:ind w:left="540" w:hanging="540"/>
        <w:rPr>
          <w:rFonts w:ascii="宋体" w:hAnsi="宋体" w:cs="宋体"/>
          <w:b/>
          <w:bCs/>
          <w:color w:val="auto"/>
          <w:sz w:val="22"/>
          <w:szCs w:val="22"/>
          <w:highlight w:val="none"/>
          <w:u w:val="single"/>
        </w:rPr>
      </w:pP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u w:val="single"/>
        </w:rPr>
        <w:t>实质上没有响应采购文件要求的投标将被拒绝，投标人不得通过修正或撤消不合要求的偏离或保留从而使其投标成为实质上响应的投标。</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评标委员会对审查合格的投标文件按照采购文件中制订的评标方法进行综合评定打分。</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color w:val="auto"/>
          <w:kern w:val="0"/>
          <w:sz w:val="22"/>
          <w:szCs w:val="22"/>
          <w:highlight w:val="none"/>
        </w:rPr>
        <w:t>▲</w:t>
      </w:r>
      <w:r>
        <w:rPr>
          <w:rFonts w:hint="eastAsia" w:ascii="宋体" w:hAnsi="宋体" w:cs="宋体"/>
          <w:b/>
          <w:bCs/>
          <w:color w:val="auto"/>
          <w:kern w:val="0"/>
          <w:sz w:val="22"/>
          <w:szCs w:val="22"/>
          <w:highlight w:val="none"/>
          <w:u w:val="single"/>
        </w:rPr>
        <w:t>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numPr>
          <w:ilvl w:val="1"/>
          <w:numId w:val="23"/>
        </w:numPr>
        <w:tabs>
          <w:tab w:val="left" w:pos="540"/>
        </w:tabs>
        <w:spacing w:line="440" w:lineRule="exact"/>
        <w:ind w:left="540" w:hanging="540"/>
        <w:rPr>
          <w:rFonts w:ascii="宋体" w:hAnsi="宋体" w:cs="宋体"/>
          <w:bCs/>
          <w:color w:val="auto"/>
          <w:sz w:val="22"/>
          <w:szCs w:val="22"/>
          <w:highlight w:val="none"/>
        </w:rPr>
      </w:pPr>
      <w:r>
        <w:rPr>
          <w:rFonts w:hint="eastAsia" w:ascii="宋体" w:hAnsi="宋体" w:cs="宋体"/>
          <w:bCs/>
          <w:color w:val="auto"/>
          <w:sz w:val="22"/>
          <w:szCs w:val="22"/>
          <w:highlight w:val="none"/>
        </w:rPr>
        <w:t>评标过程中遇到特殊情况，由评标委员会遵循公开、公正原则，采取投票方式按照少数服从多数原则决定。</w:t>
      </w:r>
    </w:p>
    <w:p>
      <w:pPr>
        <w:numPr>
          <w:ilvl w:val="1"/>
          <w:numId w:val="23"/>
        </w:numPr>
        <w:tabs>
          <w:tab w:val="left" w:pos="540"/>
        </w:tabs>
        <w:spacing w:line="440" w:lineRule="exact"/>
        <w:ind w:left="540" w:hanging="540"/>
        <w:rPr>
          <w:color w:val="auto"/>
          <w:highlight w:val="none"/>
        </w:rPr>
      </w:pPr>
      <w:r>
        <w:rPr>
          <w:rFonts w:hint="eastAsia" w:ascii="宋体" w:hAnsi="宋体" w:cs="宋体"/>
          <w:color w:val="auto"/>
          <w:kern w:val="0"/>
          <w:sz w:val="22"/>
          <w:szCs w:val="22"/>
          <w:highlight w:val="none"/>
        </w:rPr>
        <w:t>▲</w:t>
      </w:r>
      <w:r>
        <w:rPr>
          <w:rFonts w:hint="eastAsia" w:ascii="宋体" w:hAnsi="宋体" w:cs="宋体"/>
          <w:b/>
          <w:color w:val="auto"/>
          <w:sz w:val="22"/>
          <w:szCs w:val="22"/>
          <w:highlight w:val="none"/>
          <w:u w:val="single"/>
        </w:rPr>
        <w:t>投标截止时间止及评审期间出现有效投标人不足3家时，如符合《温州市市属国有企业采购管理办法（试行）》第三十三条规定的情况，可以按原采购方式继续进行采购活动，但采购项目第一次评审活动除外。</w:t>
      </w:r>
    </w:p>
    <w:p>
      <w:pPr>
        <w:numPr>
          <w:ilvl w:val="0"/>
          <w:numId w:val="22"/>
        </w:numPr>
        <w:tabs>
          <w:tab w:val="left" w:pos="540"/>
          <w:tab w:val="clear" w:pos="420"/>
        </w:tabs>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投标文件的澄清</w:t>
      </w:r>
    </w:p>
    <w:p>
      <w:pPr>
        <w:numPr>
          <w:ilvl w:val="1"/>
          <w:numId w:val="27"/>
        </w:numPr>
        <w:tabs>
          <w:tab w:val="left" w:pos="540"/>
          <w:tab w:val="clear" w:pos="992"/>
        </w:tabs>
        <w:spacing w:line="440" w:lineRule="exact"/>
        <w:ind w:left="540" w:hanging="540"/>
        <w:rPr>
          <w:rFonts w:ascii="宋体" w:hAnsi="宋体" w:cs="宋体"/>
          <w:b/>
          <w:color w:val="auto"/>
          <w:sz w:val="22"/>
          <w:szCs w:val="22"/>
          <w:highlight w:val="none"/>
        </w:rPr>
      </w:pPr>
      <w:r>
        <w:rPr>
          <w:rFonts w:hint="eastAsia" w:ascii="宋体" w:hAnsi="宋体" w:cs="宋体"/>
          <w:bCs/>
          <w:color w:val="auto"/>
          <w:sz w:val="22"/>
          <w:szCs w:val="22"/>
          <w:highlight w:val="none"/>
        </w:rPr>
        <w:t>在评标期间，评标委员会可以对投标文件中含义不明确、对同类问题表述不一致或者有明显文字和计算错误的内容作必要的澄清、说明或补正。澄清内容不得超出投标文件的范围或者改变投标文件的实质性内容。拒不按要求对其投标文件进行澄清，说明或补正的投标人，评标委员会可以否决其投标。</w:t>
      </w:r>
    </w:p>
    <w:p>
      <w:pPr>
        <w:numPr>
          <w:ilvl w:val="1"/>
          <w:numId w:val="27"/>
        </w:numPr>
        <w:tabs>
          <w:tab w:val="left" w:pos="540"/>
          <w:tab w:val="clear" w:pos="992"/>
        </w:tabs>
        <w:spacing w:line="440" w:lineRule="exact"/>
        <w:ind w:left="540" w:hanging="540"/>
        <w:rPr>
          <w:rFonts w:ascii="宋体" w:hAnsi="宋体" w:cs="宋体"/>
          <w:b/>
          <w:color w:val="auto"/>
          <w:sz w:val="22"/>
          <w:szCs w:val="22"/>
          <w:highlight w:val="none"/>
          <w:u w:val="single"/>
        </w:rPr>
      </w:pPr>
      <w:r>
        <w:rPr>
          <w:rFonts w:hint="eastAsia" w:ascii="宋体" w:hAnsi="宋体" w:cs="宋体"/>
          <w:b/>
          <w:color w:val="auto"/>
          <w:kern w:val="0"/>
          <w:sz w:val="22"/>
          <w:szCs w:val="22"/>
          <w:highlight w:val="none"/>
          <w:u w:val="single"/>
        </w:rPr>
        <w:t>▲</w:t>
      </w:r>
      <w:r>
        <w:rPr>
          <w:rFonts w:hint="eastAsia" w:ascii="宋体" w:hAnsi="宋体" w:cs="宋体"/>
          <w:b/>
          <w:color w:val="auto"/>
          <w:sz w:val="22"/>
          <w:szCs w:val="22"/>
          <w:highlight w:val="none"/>
          <w:u w:val="single"/>
        </w:rPr>
        <w:t>经澄清后，若偏差仍存在，且不可接受，投标人则被认为是“没有实质性响应采购文件要求”，其投标不进入下一步评审。</w:t>
      </w:r>
    </w:p>
    <w:p>
      <w:pPr>
        <w:numPr>
          <w:ilvl w:val="0"/>
          <w:numId w:val="22"/>
        </w:numPr>
        <w:tabs>
          <w:tab w:val="left" w:pos="540"/>
          <w:tab w:val="clear" w:pos="420"/>
        </w:tabs>
        <w:spacing w:line="440" w:lineRule="exact"/>
        <w:rPr>
          <w:rFonts w:ascii="宋体" w:hAnsi="宋体" w:cs="宋体"/>
          <w:color w:val="auto"/>
          <w:sz w:val="22"/>
          <w:szCs w:val="22"/>
          <w:highlight w:val="none"/>
        </w:rPr>
      </w:pPr>
      <w:r>
        <w:rPr>
          <w:rFonts w:hint="eastAsia" w:ascii="宋体" w:hAnsi="宋体" w:cs="宋体"/>
          <w:bCs/>
          <w:color w:val="auto"/>
          <w:sz w:val="22"/>
          <w:szCs w:val="22"/>
          <w:highlight w:val="none"/>
        </w:rPr>
        <w:t>确定中标候选人</w:t>
      </w:r>
    </w:p>
    <w:p>
      <w:pPr>
        <w:numPr>
          <w:ilvl w:val="1"/>
          <w:numId w:val="28"/>
        </w:numPr>
        <w:tabs>
          <w:tab w:val="left" w:pos="540"/>
          <w:tab w:val="clear" w:pos="992"/>
        </w:tabs>
        <w:spacing w:line="44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本次采购由评标委员会推荐中标候选人，采购人根据评标委员会的推荐结果进行最终确认。</w:t>
      </w:r>
    </w:p>
    <w:p>
      <w:pPr>
        <w:numPr>
          <w:ilvl w:val="1"/>
          <w:numId w:val="28"/>
        </w:numPr>
        <w:tabs>
          <w:tab w:val="left" w:pos="540"/>
          <w:tab w:val="clear" w:pos="992"/>
        </w:tabs>
        <w:spacing w:line="44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评标委员会依据法律、法规及采购文件有关规定在有效标中按投标人的综合得分（即商务技术分与报价分之和）高低进行排序，综合得分前2名的投标人依次推荐为第一中标候选人和第二中标候选人。（综合得分相同的，按报价分由高到底顺序排列；综合得分且报价分相同的，由评标委员会成员抽签决定排序）</w:t>
      </w:r>
    </w:p>
    <w:p>
      <w:pPr>
        <w:numPr>
          <w:ilvl w:val="1"/>
          <w:numId w:val="28"/>
        </w:numPr>
        <w:tabs>
          <w:tab w:val="left" w:pos="540"/>
          <w:tab w:val="clear" w:pos="992"/>
        </w:tabs>
        <w:spacing w:line="44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 xml:space="preserve"> 若出现以下情形之一，采购人可视具体情况确定</w:t>
      </w:r>
      <w:r>
        <w:rPr>
          <w:rFonts w:hint="eastAsia" w:ascii="宋体" w:hAnsi="宋体" w:cs="宋体"/>
          <w:color w:val="auto"/>
          <w:kern w:val="0"/>
          <w:sz w:val="22"/>
          <w:szCs w:val="22"/>
          <w:highlight w:val="none"/>
        </w:rPr>
        <w:t>是否由排名第二的中标候选人为中标人或</w:t>
      </w:r>
      <w:r>
        <w:rPr>
          <w:rFonts w:hint="eastAsia" w:ascii="宋体" w:hAnsi="宋体" w:cs="宋体"/>
          <w:color w:val="auto"/>
          <w:sz w:val="22"/>
          <w:szCs w:val="22"/>
          <w:highlight w:val="none"/>
        </w:rPr>
        <w:t>重新组织采购：</w:t>
      </w:r>
    </w:p>
    <w:p>
      <w:pPr>
        <w:tabs>
          <w:tab w:val="left" w:pos="540"/>
        </w:tabs>
        <w:autoSpaceDE w:val="0"/>
        <w:autoSpaceDN w:val="0"/>
        <w:adjustRightInd w:val="0"/>
        <w:spacing w:line="440" w:lineRule="atLeast"/>
        <w:ind w:left="42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1）</w:t>
      </w:r>
      <w:r>
        <w:rPr>
          <w:rFonts w:hint="eastAsia" w:ascii="宋体" w:hAnsi="宋体" w:cs="宋体"/>
          <w:color w:val="auto"/>
          <w:kern w:val="0"/>
          <w:sz w:val="22"/>
          <w:szCs w:val="22"/>
          <w:highlight w:val="none"/>
        </w:rPr>
        <w:t>第一</w:t>
      </w:r>
      <w:r>
        <w:rPr>
          <w:rFonts w:hint="eastAsia" w:ascii="宋体" w:hAnsi="宋体" w:cs="宋体"/>
          <w:color w:val="auto"/>
          <w:kern w:val="0"/>
          <w:sz w:val="22"/>
          <w:szCs w:val="22"/>
          <w:highlight w:val="none"/>
          <w:lang w:val="zh-CN"/>
        </w:rPr>
        <w:t>中标候选人放弃中标资格；</w:t>
      </w:r>
    </w:p>
    <w:p>
      <w:pPr>
        <w:tabs>
          <w:tab w:val="left" w:pos="540"/>
        </w:tabs>
        <w:autoSpaceDE w:val="0"/>
        <w:autoSpaceDN w:val="0"/>
        <w:adjustRightInd w:val="0"/>
        <w:spacing w:line="440" w:lineRule="atLeast"/>
        <w:ind w:left="42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2）</w:t>
      </w:r>
      <w:r>
        <w:rPr>
          <w:rFonts w:hint="eastAsia" w:ascii="宋体" w:hAnsi="宋体" w:cs="宋体"/>
          <w:color w:val="auto"/>
          <w:kern w:val="0"/>
          <w:sz w:val="22"/>
          <w:szCs w:val="22"/>
          <w:highlight w:val="none"/>
        </w:rPr>
        <w:t>第一</w:t>
      </w:r>
      <w:r>
        <w:rPr>
          <w:rFonts w:hint="eastAsia" w:ascii="宋体" w:hAnsi="宋体" w:cs="宋体"/>
          <w:color w:val="auto"/>
          <w:kern w:val="0"/>
          <w:sz w:val="22"/>
          <w:szCs w:val="22"/>
          <w:highlight w:val="none"/>
          <w:lang w:val="zh-CN"/>
        </w:rPr>
        <w:t>中标候选人因不可抗力提出不能履行合同；</w:t>
      </w:r>
    </w:p>
    <w:p>
      <w:pPr>
        <w:tabs>
          <w:tab w:val="left" w:pos="540"/>
        </w:tabs>
        <w:autoSpaceDE w:val="0"/>
        <w:autoSpaceDN w:val="0"/>
        <w:adjustRightInd w:val="0"/>
        <w:spacing w:line="440" w:lineRule="atLeast"/>
        <w:ind w:left="42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3）</w:t>
      </w:r>
      <w:r>
        <w:rPr>
          <w:rFonts w:hint="eastAsia" w:ascii="宋体" w:hAnsi="宋体" w:cs="宋体"/>
          <w:color w:val="auto"/>
          <w:kern w:val="0"/>
          <w:sz w:val="22"/>
          <w:szCs w:val="22"/>
          <w:highlight w:val="none"/>
        </w:rPr>
        <w:t>第一</w:t>
      </w:r>
      <w:r>
        <w:rPr>
          <w:rFonts w:hint="eastAsia" w:ascii="宋体" w:hAnsi="宋体" w:cs="宋体"/>
          <w:color w:val="auto"/>
          <w:kern w:val="0"/>
          <w:sz w:val="22"/>
          <w:szCs w:val="22"/>
          <w:highlight w:val="none"/>
          <w:lang w:val="zh-CN"/>
        </w:rPr>
        <w:t>中标候选人未能在规定的期限内提交履约保证金；</w:t>
      </w:r>
    </w:p>
    <w:p>
      <w:pPr>
        <w:tabs>
          <w:tab w:val="left" w:pos="540"/>
        </w:tabs>
        <w:autoSpaceDE w:val="0"/>
        <w:autoSpaceDN w:val="0"/>
        <w:adjustRightInd w:val="0"/>
        <w:spacing w:line="440" w:lineRule="atLeast"/>
        <w:ind w:left="42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4）</w:t>
      </w:r>
      <w:r>
        <w:rPr>
          <w:rFonts w:hint="eastAsia" w:ascii="宋体" w:hAnsi="宋体" w:cs="宋体"/>
          <w:color w:val="auto"/>
          <w:kern w:val="0"/>
          <w:sz w:val="22"/>
          <w:szCs w:val="22"/>
          <w:highlight w:val="none"/>
        </w:rPr>
        <w:t>第一</w:t>
      </w:r>
      <w:r>
        <w:rPr>
          <w:rFonts w:hint="eastAsia" w:ascii="宋体" w:hAnsi="宋体" w:cs="宋体"/>
          <w:color w:val="auto"/>
          <w:kern w:val="0"/>
          <w:sz w:val="22"/>
          <w:szCs w:val="22"/>
          <w:highlight w:val="none"/>
          <w:lang w:val="zh-CN"/>
        </w:rPr>
        <w:t>中标候选人未能在规定时间内与采购人签订合同；</w:t>
      </w:r>
    </w:p>
    <w:p>
      <w:pPr>
        <w:spacing w:line="440" w:lineRule="exact"/>
        <w:ind w:left="420"/>
        <w:rPr>
          <w:rFonts w:ascii="宋体" w:hAnsi="宋体" w:cs="宋体"/>
          <w:color w:val="auto"/>
          <w:kern w:val="0"/>
          <w:sz w:val="22"/>
          <w:szCs w:val="22"/>
          <w:highlight w:val="none"/>
          <w:lang w:val="zh-CN"/>
        </w:rPr>
      </w:pPr>
      <w:r>
        <w:rPr>
          <w:rFonts w:hint="eastAsia" w:ascii="宋体" w:hAnsi="宋体" w:cs="宋体"/>
          <w:color w:val="auto"/>
          <w:kern w:val="0"/>
          <w:sz w:val="22"/>
          <w:szCs w:val="22"/>
          <w:highlight w:val="none"/>
          <w:lang w:val="zh-CN"/>
        </w:rPr>
        <w:t>5）经质疑，采购人审查后，</w:t>
      </w:r>
      <w:r>
        <w:rPr>
          <w:rFonts w:hint="eastAsia" w:ascii="宋体" w:hAnsi="宋体" w:cs="宋体"/>
          <w:color w:val="auto"/>
          <w:kern w:val="0"/>
          <w:sz w:val="22"/>
          <w:szCs w:val="22"/>
          <w:highlight w:val="none"/>
        </w:rPr>
        <w:t>第一</w:t>
      </w:r>
      <w:r>
        <w:rPr>
          <w:rFonts w:hint="eastAsia" w:ascii="宋体" w:hAnsi="宋体" w:cs="宋体"/>
          <w:color w:val="auto"/>
          <w:kern w:val="0"/>
          <w:sz w:val="22"/>
          <w:szCs w:val="22"/>
          <w:highlight w:val="none"/>
          <w:lang w:val="zh-CN"/>
        </w:rPr>
        <w:t>中标候选人确实在本次采购活动中存在违法违规行为或其他原因使质疑成立的。</w:t>
      </w:r>
    </w:p>
    <w:p>
      <w:pPr>
        <w:numPr>
          <w:ilvl w:val="1"/>
          <w:numId w:val="28"/>
        </w:numPr>
        <w:tabs>
          <w:tab w:val="left" w:pos="540"/>
          <w:tab w:val="clear" w:pos="992"/>
        </w:tabs>
        <w:spacing w:line="440" w:lineRule="exact"/>
        <w:ind w:left="540" w:hanging="540"/>
        <w:rPr>
          <w:rFonts w:ascii="宋体" w:hAnsi="宋体" w:cs="宋体"/>
          <w:color w:val="auto"/>
          <w:sz w:val="22"/>
          <w:szCs w:val="22"/>
          <w:highlight w:val="none"/>
        </w:rPr>
      </w:pPr>
      <w:r>
        <w:rPr>
          <w:rFonts w:hint="eastAsia" w:ascii="宋体" w:hAnsi="宋体" w:cs="宋体"/>
          <w:color w:val="auto"/>
          <w:sz w:val="22"/>
          <w:szCs w:val="22"/>
          <w:highlight w:val="none"/>
        </w:rPr>
        <w:t>采购人、采购代理机构及评标委员会对未中标的投标人不作解释，不对投标人公布详细的评审情况，不公布具体评标细则中小项得分。</w:t>
      </w:r>
    </w:p>
    <w:p>
      <w:pPr>
        <w:numPr>
          <w:ilvl w:val="0"/>
          <w:numId w:val="22"/>
        </w:numPr>
        <w:tabs>
          <w:tab w:val="left" w:pos="540"/>
          <w:tab w:val="clear" w:pos="420"/>
        </w:tabs>
        <w:spacing w:line="440" w:lineRule="exact"/>
        <w:rPr>
          <w:rFonts w:ascii="宋体" w:hAnsi="宋体" w:cs="宋体"/>
          <w:color w:val="auto"/>
          <w:sz w:val="22"/>
          <w:szCs w:val="22"/>
          <w:highlight w:val="none"/>
        </w:rPr>
      </w:pPr>
      <w:r>
        <w:rPr>
          <w:rFonts w:hint="eastAsia" w:ascii="宋体" w:hAnsi="宋体" w:cs="宋体"/>
          <w:bCs/>
          <w:color w:val="auto"/>
          <w:sz w:val="22"/>
          <w:szCs w:val="22"/>
          <w:highlight w:val="none"/>
        </w:rPr>
        <w:t>评标原则及办法</w:t>
      </w:r>
    </w:p>
    <w:p>
      <w:pPr>
        <w:spacing w:line="440" w:lineRule="exact"/>
        <w:ind w:firstLine="550" w:firstLineChars="250"/>
        <w:rPr>
          <w:rFonts w:ascii="宋体" w:hAnsi="宋体" w:cs="宋体"/>
          <w:bCs/>
          <w:color w:val="auto"/>
          <w:sz w:val="22"/>
          <w:szCs w:val="22"/>
          <w:highlight w:val="none"/>
        </w:rPr>
      </w:pPr>
      <w:r>
        <w:rPr>
          <w:rFonts w:hint="eastAsia" w:ascii="宋体" w:hAnsi="宋体" w:cs="宋体"/>
          <w:bCs/>
          <w:color w:val="auto"/>
          <w:sz w:val="22"/>
          <w:szCs w:val="22"/>
          <w:highlight w:val="none"/>
        </w:rPr>
        <w:t>评标委员会按照采购文件的要求和条件进行评标，详见“评标原则及方法”。</w:t>
      </w:r>
    </w:p>
    <w:p>
      <w:pPr>
        <w:pStyle w:val="17"/>
        <w:ind w:firstLine="210"/>
        <w:rPr>
          <w:color w:val="auto"/>
          <w:highlight w:val="none"/>
        </w:rPr>
      </w:pPr>
    </w:p>
    <w:p>
      <w:pPr>
        <w:numPr>
          <w:ilvl w:val="0"/>
          <w:numId w:val="4"/>
        </w:numPr>
        <w:spacing w:before="100" w:beforeAutospacing="1" w:after="100" w:afterAutospacing="1" w:line="440" w:lineRule="exact"/>
        <w:jc w:val="center"/>
        <w:outlineLvl w:val="0"/>
        <w:rPr>
          <w:rFonts w:ascii="宋体" w:hAnsi="宋体" w:cs="宋体"/>
          <w:b/>
          <w:bCs/>
          <w:color w:val="auto"/>
          <w:sz w:val="26"/>
          <w:szCs w:val="26"/>
          <w:highlight w:val="none"/>
        </w:rPr>
      </w:pPr>
      <w:bookmarkStart w:id="103" w:name="_Toc249758866"/>
      <w:bookmarkStart w:id="104" w:name="_Toc222114881"/>
      <w:bookmarkStart w:id="105" w:name="_Toc221356889"/>
      <w:bookmarkStart w:id="106" w:name="_Toc223716000"/>
      <w:bookmarkStart w:id="107" w:name="_Toc221356953"/>
      <w:bookmarkStart w:id="108" w:name="_Toc221374628"/>
      <w:bookmarkStart w:id="109" w:name="_Toc245191316"/>
      <w:bookmarkStart w:id="110" w:name="_Toc221423621"/>
      <w:bookmarkStart w:id="111" w:name="_Toc245722283"/>
      <w:bookmarkStart w:id="112" w:name="_Toc249758714"/>
      <w:bookmarkStart w:id="113" w:name="_Toc246261267"/>
      <w:bookmarkStart w:id="114" w:name="_Toc262049420"/>
      <w:bookmarkStart w:id="115" w:name="_Toc239145356"/>
      <w:bookmarkStart w:id="116" w:name="_Toc262105505"/>
      <w:bookmarkStart w:id="117" w:name="_Toc241404204"/>
      <w:r>
        <w:rPr>
          <w:rFonts w:hint="eastAsia" w:ascii="宋体" w:hAnsi="宋体" w:cs="宋体"/>
          <w:b/>
          <w:bCs/>
          <w:color w:val="auto"/>
          <w:sz w:val="26"/>
          <w:szCs w:val="26"/>
          <w:highlight w:val="none"/>
        </w:rPr>
        <w:t xml:space="preserve"> </w:t>
      </w:r>
      <w:bookmarkStart w:id="118" w:name="_Toc17627"/>
      <w:r>
        <w:rPr>
          <w:rFonts w:hint="eastAsia" w:ascii="宋体" w:hAnsi="宋体" w:cs="宋体"/>
          <w:b/>
          <w:bCs/>
          <w:color w:val="auto"/>
          <w:sz w:val="26"/>
          <w:szCs w:val="26"/>
          <w:highlight w:val="none"/>
        </w:rPr>
        <w:t>授予合同</w:t>
      </w:r>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p>
    <w:p>
      <w:pPr>
        <w:numPr>
          <w:ilvl w:val="0"/>
          <w:numId w:val="29"/>
        </w:numPr>
        <w:spacing w:line="440" w:lineRule="exact"/>
        <w:rPr>
          <w:rFonts w:ascii="宋体" w:hAnsi="宋体" w:cs="宋体"/>
          <w:color w:val="auto"/>
          <w:kern w:val="0"/>
          <w:sz w:val="22"/>
          <w:szCs w:val="22"/>
          <w:highlight w:val="none"/>
        </w:rPr>
      </w:pPr>
      <w:r>
        <w:rPr>
          <w:rFonts w:hint="eastAsia" w:ascii="宋体" w:hAnsi="宋体" w:cs="宋体"/>
          <w:color w:val="auto"/>
          <w:kern w:val="0"/>
          <w:sz w:val="22"/>
          <w:szCs w:val="22"/>
          <w:highlight w:val="none"/>
        </w:rPr>
        <w:t>确定中标人</w:t>
      </w:r>
    </w:p>
    <w:p>
      <w:pPr>
        <w:spacing w:line="440" w:lineRule="exact"/>
        <w:ind w:left="438" w:leftChars="156" w:hanging="110" w:hangingChars="50"/>
        <w:rPr>
          <w:rFonts w:ascii="宋体" w:hAnsi="宋体" w:cs="宋体"/>
          <w:color w:val="auto"/>
          <w:kern w:val="0"/>
          <w:sz w:val="22"/>
          <w:szCs w:val="22"/>
          <w:highlight w:val="none"/>
        </w:rPr>
      </w:pPr>
      <w:r>
        <w:rPr>
          <w:rFonts w:hint="eastAsia" w:ascii="宋体" w:hAnsi="宋体" w:cs="宋体"/>
          <w:color w:val="auto"/>
          <w:kern w:val="0"/>
          <w:sz w:val="22"/>
          <w:szCs w:val="22"/>
          <w:highlight w:val="none"/>
        </w:rPr>
        <w:t xml:space="preserve"> 评标委员会推荐的中标候选人经采购人确认后在</w:t>
      </w:r>
      <w:r>
        <w:rPr>
          <w:rFonts w:hint="eastAsia" w:ascii="宋体" w:hAnsi="宋体" w:cs="宋体"/>
          <w:color w:val="auto"/>
          <w:sz w:val="22"/>
          <w:szCs w:val="22"/>
          <w:highlight w:val="none"/>
        </w:rPr>
        <w:t>浙江政府采购网、温州国企采购平台</w:t>
      </w:r>
      <w:r>
        <w:rPr>
          <w:rFonts w:hint="eastAsia" w:ascii="宋体" w:hAnsi="宋体" w:cs="宋体"/>
          <w:color w:val="auto"/>
          <w:kern w:val="0"/>
          <w:sz w:val="22"/>
          <w:szCs w:val="22"/>
          <w:highlight w:val="none"/>
        </w:rPr>
        <w:t>上公示，各投标人对评标结果如有异议，可在规定时间内以书面形式向采购人进行署名投诉或提出质疑，但需对投诉或质疑内容的真实性承担法律责任。中标公告期限为1个工作日，公示期结束后，采购人将根据评标委员会提交的书面评标报告和评审结果最后确定中标人。</w:t>
      </w:r>
    </w:p>
    <w:p>
      <w:pPr>
        <w:numPr>
          <w:ilvl w:val="0"/>
          <w:numId w:val="29"/>
        </w:numPr>
        <w:spacing w:line="440" w:lineRule="exact"/>
        <w:rPr>
          <w:rFonts w:ascii="宋体" w:hAnsi="宋体" w:cs="宋体"/>
          <w:bCs/>
          <w:color w:val="auto"/>
          <w:sz w:val="22"/>
          <w:szCs w:val="22"/>
          <w:highlight w:val="none"/>
        </w:rPr>
      </w:pPr>
      <w:r>
        <w:rPr>
          <w:rFonts w:hint="eastAsia" w:ascii="宋体" w:hAnsi="宋体" w:cs="宋体"/>
          <w:bCs/>
          <w:color w:val="auto"/>
          <w:sz w:val="22"/>
          <w:szCs w:val="22"/>
          <w:highlight w:val="none"/>
        </w:rPr>
        <w:t>中标通知书</w:t>
      </w:r>
    </w:p>
    <w:p>
      <w:pPr>
        <w:spacing w:line="460" w:lineRule="exact"/>
        <w:rPr>
          <w:rFonts w:ascii="宋体" w:hAnsi="宋体" w:cs="宋体"/>
          <w:color w:val="auto"/>
          <w:sz w:val="22"/>
          <w:szCs w:val="22"/>
          <w:highlight w:val="none"/>
        </w:rPr>
      </w:pPr>
      <w:r>
        <w:rPr>
          <w:rFonts w:hint="eastAsia" w:ascii="宋体" w:hAnsi="宋体" w:cs="宋体"/>
          <w:bCs/>
          <w:color w:val="auto"/>
          <w:sz w:val="22"/>
          <w:szCs w:val="22"/>
          <w:highlight w:val="none"/>
        </w:rPr>
        <w:t>2.1</w:t>
      </w:r>
      <w:r>
        <w:rPr>
          <w:rFonts w:hint="eastAsia" w:ascii="宋体" w:hAnsi="宋体" w:cs="宋体"/>
          <w:color w:val="auto"/>
          <w:kern w:val="0"/>
          <w:sz w:val="22"/>
          <w:szCs w:val="22"/>
          <w:highlight w:val="none"/>
        </w:rPr>
        <w:t>中标人确定后，采购人将向中标人发出中标通知书</w:t>
      </w:r>
      <w:r>
        <w:rPr>
          <w:rFonts w:hint="eastAsia" w:ascii="宋体" w:hAnsi="宋体" w:cs="宋体"/>
          <w:bCs/>
          <w:color w:val="auto"/>
          <w:sz w:val="22"/>
          <w:szCs w:val="22"/>
          <w:highlight w:val="none"/>
        </w:rPr>
        <w:t xml:space="preserve">。 </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2.2中标通知书是合同的一个组成部分,对采购人和中标人均具有同等法律效力。</w:t>
      </w: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2.3</w:t>
      </w:r>
      <w:r>
        <w:rPr>
          <w:rFonts w:hint="eastAsia" w:ascii="宋体" w:hAnsi="宋体" w:cs="宋体"/>
          <w:color w:val="auto"/>
          <w:highlight w:val="none"/>
        </w:rPr>
        <w:t xml:space="preserve"> </w:t>
      </w:r>
      <w:r>
        <w:rPr>
          <w:rFonts w:hint="eastAsia" w:ascii="宋体" w:hAnsi="宋体" w:cs="宋体"/>
          <w:color w:val="auto"/>
          <w:sz w:val="22"/>
          <w:szCs w:val="22"/>
          <w:highlight w:val="none"/>
        </w:rPr>
        <w:t>采购人对未中标的投标人不作落标原因解释</w:t>
      </w:r>
    </w:p>
    <w:p>
      <w:pPr>
        <w:numPr>
          <w:ilvl w:val="0"/>
          <w:numId w:val="29"/>
        </w:numPr>
        <w:spacing w:line="440" w:lineRule="exact"/>
        <w:rPr>
          <w:rFonts w:ascii="宋体" w:hAnsi="宋体" w:cs="宋体"/>
          <w:color w:val="auto"/>
          <w:sz w:val="22"/>
          <w:szCs w:val="22"/>
          <w:highlight w:val="none"/>
        </w:rPr>
      </w:pPr>
      <w:r>
        <w:rPr>
          <w:rFonts w:hint="eastAsia" w:ascii="宋体" w:hAnsi="宋体" w:cs="宋体"/>
          <w:bCs/>
          <w:color w:val="auto"/>
          <w:sz w:val="22"/>
          <w:szCs w:val="22"/>
          <w:highlight w:val="none"/>
        </w:rPr>
        <w:t>签订合同</w:t>
      </w:r>
    </w:p>
    <w:p>
      <w:pPr>
        <w:tabs>
          <w:tab w:val="left" w:pos="8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3.1中标人应按中标通知书规定的时间、地点与采购人签订合同。</w:t>
      </w:r>
    </w:p>
    <w:p>
      <w:pPr>
        <w:tabs>
          <w:tab w:val="left" w:pos="8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3.2采购文件、采购补充文件、中标人的投标文件及投标修改文件、评标过程中有关澄清文件及经双方签字的询标纪要和中标通知书均作为合同附件。</w:t>
      </w:r>
    </w:p>
    <w:p>
      <w:pPr>
        <w:tabs>
          <w:tab w:val="left" w:pos="8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3.3拒签协议的违约责任</w:t>
      </w:r>
    </w:p>
    <w:p>
      <w:pPr>
        <w:spacing w:line="440" w:lineRule="exact"/>
        <w:ind w:firstLine="330" w:firstLineChars="150"/>
        <w:rPr>
          <w:rFonts w:ascii="宋体" w:hAnsi="宋体" w:cs="宋体"/>
          <w:color w:val="auto"/>
          <w:sz w:val="22"/>
          <w:szCs w:val="22"/>
          <w:highlight w:val="none"/>
        </w:rPr>
      </w:pPr>
      <w:r>
        <w:rPr>
          <w:rFonts w:hint="eastAsia" w:ascii="宋体" w:hAnsi="宋体" w:cs="宋体"/>
          <w:color w:val="auto"/>
          <w:sz w:val="22"/>
          <w:szCs w:val="22"/>
          <w:highlight w:val="none"/>
        </w:rPr>
        <w:t>中标人接到中标通知书后，在规定时间内借故否认已经承诺的条件而拒签协议者，以投标违约处理，其投标保证金不予退回；给采购人造成损失的，由中标人负责赔偿；由此而需要重新组织采购的，所需费用由中标人承担。</w:t>
      </w:r>
    </w:p>
    <w:p>
      <w:pPr>
        <w:numPr>
          <w:ilvl w:val="0"/>
          <w:numId w:val="29"/>
        </w:numPr>
        <w:spacing w:line="440" w:lineRule="exact"/>
        <w:rPr>
          <w:rFonts w:ascii="宋体" w:hAnsi="宋体" w:cs="宋体"/>
          <w:color w:val="auto"/>
          <w:spacing w:val="6"/>
          <w:sz w:val="22"/>
          <w:szCs w:val="22"/>
          <w:highlight w:val="none"/>
        </w:rPr>
      </w:pPr>
      <w:r>
        <w:rPr>
          <w:rFonts w:hint="eastAsia" w:ascii="宋体" w:hAnsi="宋体" w:cs="宋体"/>
          <w:bCs/>
          <w:color w:val="auto"/>
          <w:sz w:val="22"/>
          <w:szCs w:val="22"/>
          <w:highlight w:val="none"/>
        </w:rPr>
        <w:t>履约保证金</w:t>
      </w:r>
    </w:p>
    <w:p>
      <w:pPr>
        <w:tabs>
          <w:tab w:val="left" w:pos="540"/>
        </w:tabs>
        <w:spacing w:line="460" w:lineRule="exact"/>
        <w:rPr>
          <w:rFonts w:ascii="宋体" w:hAnsi="宋体" w:cs="宋体"/>
          <w:b/>
          <w:color w:val="auto"/>
          <w:sz w:val="22"/>
          <w:szCs w:val="22"/>
          <w:highlight w:val="none"/>
        </w:rPr>
      </w:pPr>
      <w:r>
        <w:rPr>
          <w:rFonts w:hint="eastAsia" w:ascii="宋体" w:hAnsi="宋体" w:cs="宋体"/>
          <w:color w:val="auto"/>
          <w:sz w:val="22"/>
          <w:szCs w:val="22"/>
          <w:highlight w:val="none"/>
        </w:rPr>
        <w:t>4.1</w:t>
      </w:r>
      <w:r>
        <w:rPr>
          <w:rFonts w:hint="eastAsia" w:ascii="宋体" w:hAnsi="宋体" w:cs="宋体"/>
          <w:b/>
          <w:color w:val="auto"/>
          <w:sz w:val="22"/>
          <w:szCs w:val="22"/>
          <w:highlight w:val="none"/>
        </w:rPr>
        <w:t>中标人应在合同签订前向采购人提交履约保证金。</w:t>
      </w:r>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4.2</w:t>
      </w:r>
      <w:r>
        <w:rPr>
          <w:rFonts w:hint="eastAsia" w:ascii="宋体" w:hAnsi="宋体" w:cs="宋体"/>
          <w:color w:val="auto"/>
          <w:spacing w:val="6"/>
          <w:sz w:val="22"/>
          <w:szCs w:val="22"/>
          <w:highlight w:val="none"/>
        </w:rPr>
        <w:t>履约保证金用于补偿采购人因中标人不能履行其合同义务而蒙受的损失。</w:t>
      </w:r>
    </w:p>
    <w:p>
      <w:pPr>
        <w:tabs>
          <w:tab w:val="left" w:pos="540"/>
        </w:tabs>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4.3</w:t>
      </w:r>
      <w:r>
        <w:rPr>
          <w:rFonts w:hint="eastAsia" w:ascii="宋体" w:hAnsi="宋体" w:cs="宋体"/>
          <w:color w:val="auto"/>
          <w:spacing w:val="6"/>
          <w:sz w:val="22"/>
          <w:szCs w:val="22"/>
          <w:highlight w:val="none"/>
        </w:rPr>
        <w:t>履约保证金自</w:t>
      </w:r>
      <w:r>
        <w:rPr>
          <w:rFonts w:hint="eastAsia" w:ascii="宋体" w:hAnsi="宋体" w:cs="宋体"/>
          <w:color w:val="auto"/>
          <w:sz w:val="22"/>
          <w:szCs w:val="22"/>
          <w:highlight w:val="none"/>
        </w:rPr>
        <w:t>合同协议书生效之日起，至项目期限满止有效。</w:t>
      </w:r>
      <w:r>
        <w:rPr>
          <w:rFonts w:hint="eastAsia" w:ascii="宋体" w:hAnsi="宋体" w:cs="宋体"/>
          <w:color w:val="auto"/>
          <w:spacing w:val="6"/>
          <w:sz w:val="22"/>
          <w:szCs w:val="22"/>
          <w:highlight w:val="none"/>
        </w:rPr>
        <w:t>如采购人发现中标人存在履约问题，将根据实际情况扣除或部分扣除履约保证金。履约保证金有效期满后，且采购人确认中标人无履约问题后，将剩余履约保证金无息退还给中标人。</w:t>
      </w:r>
      <w:r>
        <w:rPr>
          <w:rFonts w:hint="eastAsia" w:ascii="宋体" w:hAnsi="宋体" w:cs="宋体"/>
          <w:color w:val="auto"/>
          <w:sz w:val="22"/>
          <w:szCs w:val="22"/>
          <w:highlight w:val="none"/>
        </w:rPr>
        <w:t xml:space="preserve"> </w:t>
      </w:r>
    </w:p>
    <w:p>
      <w:pPr>
        <w:numPr>
          <w:ilvl w:val="0"/>
          <w:numId w:val="29"/>
        </w:numPr>
        <w:spacing w:line="44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质疑与投诉</w:t>
      </w:r>
    </w:p>
    <w:p>
      <w:pPr>
        <w:numPr>
          <w:ilvl w:val="1"/>
          <w:numId w:val="30"/>
        </w:numPr>
        <w:tabs>
          <w:tab w:val="left" w:pos="540"/>
          <w:tab w:val="clear" w:pos="992"/>
        </w:tabs>
        <w:spacing w:line="460" w:lineRule="exact"/>
        <w:ind w:left="540"/>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投标人认为采购文件、采购过程、成交结果使自己的合法权益受到损害的，可以在知道或应知其权益受到损害之日起七个工作日内以书面形式向采购人和采购代理机构提出质疑。</w:t>
      </w:r>
    </w:p>
    <w:p>
      <w:pPr>
        <w:numPr>
          <w:ilvl w:val="1"/>
          <w:numId w:val="30"/>
        </w:numPr>
        <w:tabs>
          <w:tab w:val="left" w:pos="540"/>
          <w:tab w:val="clear" w:pos="992"/>
        </w:tabs>
        <w:spacing w:line="460" w:lineRule="exact"/>
        <w:ind w:left="540"/>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采购人和采购代理机构在收到投标人的书面质疑后七个工作日内作出答复，但答复的内容不得涉及商业秘密。质疑投标人对采购单位的答复不满意，可以在答复期满后十五个工作日内向温州市现代服务业发展集团有限公司纪检监察室投诉。</w:t>
      </w:r>
    </w:p>
    <w:p>
      <w:pPr>
        <w:numPr>
          <w:ilvl w:val="1"/>
          <w:numId w:val="30"/>
        </w:numPr>
        <w:tabs>
          <w:tab w:val="left" w:pos="540"/>
          <w:tab w:val="clear" w:pos="992"/>
        </w:tabs>
        <w:spacing w:line="460" w:lineRule="exact"/>
        <w:ind w:left="540"/>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投诉人投诉时，应提交投诉书，投诉书应当由本人或法定代表人签字盖公章，投诉书应说明具体的投诉事项及事实依据。投诉人对投诉书的真实性负责，恶意投诉将承当相应的法律和民事责任。</w:t>
      </w:r>
    </w:p>
    <w:p>
      <w:pPr>
        <w:numPr>
          <w:ilvl w:val="1"/>
          <w:numId w:val="30"/>
        </w:numPr>
        <w:tabs>
          <w:tab w:val="left" w:pos="540"/>
          <w:tab w:val="clear" w:pos="992"/>
        </w:tabs>
        <w:spacing w:line="460" w:lineRule="exact"/>
        <w:ind w:left="540"/>
        <w:rPr>
          <w:rFonts w:ascii="宋体" w:hAnsi="宋体" w:cs="宋体"/>
          <w:bCs/>
          <w:color w:val="auto"/>
          <w:sz w:val="22"/>
          <w:szCs w:val="22"/>
          <w:highlight w:val="none"/>
          <w:u w:val="single"/>
        </w:rPr>
      </w:pPr>
      <w:r>
        <w:rPr>
          <w:rFonts w:hint="eastAsia" w:ascii="宋体" w:hAnsi="宋体" w:cs="宋体"/>
          <w:bCs/>
          <w:color w:val="auto"/>
          <w:sz w:val="22"/>
          <w:szCs w:val="22"/>
          <w:highlight w:val="none"/>
          <w:u w:val="single"/>
        </w:rPr>
        <w:t>浙江东方职业技术学院负责对投标人反映的企业本部及所属企业在采购活动中出现的违法违规问题进行答疑回复。投标人认为浙江东方职业技术学院答疑回复处理结果不合法的，可以采购人或代理机构为对象依法向人民法院提起诉讼。</w:t>
      </w:r>
    </w:p>
    <w:p>
      <w:pPr>
        <w:numPr>
          <w:ilvl w:val="0"/>
          <w:numId w:val="29"/>
        </w:numPr>
        <w:spacing w:line="44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采购代理服务费</w:t>
      </w:r>
      <w:r>
        <w:rPr>
          <w:rFonts w:hint="eastAsia" w:ascii="宋体" w:hAnsi="宋体" w:cs="宋体"/>
          <w:b/>
          <w:bCs/>
          <w:color w:val="auto"/>
          <w:sz w:val="22"/>
          <w:szCs w:val="22"/>
          <w:highlight w:val="none"/>
          <w:lang w:val="en-US" w:eastAsia="zh-CN"/>
        </w:rPr>
        <w:t>及乐采云平台收费</w:t>
      </w:r>
    </w:p>
    <w:p>
      <w:pPr>
        <w:tabs>
          <w:tab w:val="left" w:pos="540"/>
        </w:tabs>
        <w:spacing w:line="460" w:lineRule="exact"/>
        <w:rPr>
          <w:rFonts w:ascii="宋体" w:hAnsi="宋体" w:cs="宋体"/>
          <w:b/>
          <w:color w:val="auto"/>
          <w:sz w:val="22"/>
          <w:szCs w:val="22"/>
          <w:highlight w:val="none"/>
        </w:rPr>
      </w:pPr>
      <w:r>
        <w:rPr>
          <w:rFonts w:hint="eastAsia" w:ascii="宋体" w:hAnsi="宋体" w:cs="宋体"/>
          <w:b/>
          <w:color w:val="auto"/>
          <w:sz w:val="22"/>
          <w:szCs w:val="22"/>
          <w:highlight w:val="none"/>
        </w:rPr>
        <w:t>6.1 本次采购，采购代理服务费按固定金额人民币伍仟捌佰元整收取，由中标人在领取中标通知书之前支付给采购代理机构。</w:t>
      </w:r>
    </w:p>
    <w:p>
      <w:pPr>
        <w:tabs>
          <w:tab w:val="left" w:pos="540"/>
        </w:tabs>
        <w:spacing w:line="460" w:lineRule="exact"/>
        <w:rPr>
          <w:rFonts w:hint="eastAsia" w:ascii="宋体" w:hAnsi="宋体" w:cs="宋体"/>
          <w:b/>
          <w:bCs/>
          <w:color w:val="auto"/>
          <w:sz w:val="22"/>
          <w:szCs w:val="22"/>
          <w:highlight w:val="none"/>
        </w:rPr>
      </w:pPr>
      <w:r>
        <w:rPr>
          <w:rFonts w:hint="eastAsia" w:ascii="宋体" w:hAnsi="宋体" w:cs="宋体"/>
          <w:b/>
          <w:bCs/>
          <w:color w:val="auto"/>
          <w:sz w:val="22"/>
          <w:szCs w:val="22"/>
          <w:highlight w:val="none"/>
        </w:rPr>
        <w:t>6.2 采购代理服务费可以是银行转账、现金或支票。</w:t>
      </w:r>
    </w:p>
    <w:p>
      <w:pPr>
        <w:tabs>
          <w:tab w:val="left" w:pos="540"/>
        </w:tabs>
        <w:spacing w:line="460" w:lineRule="exact"/>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6.3 乐采云国企采购平台项目采购收费标准(温州市市属国企区）</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一、收费标准</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(一)不涉及具体金额的采购项目，技术服务费800元/件:</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(二) 涉及具体金额的采购项目，根据标的额，按照以下比例收取技术服务费</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中标价100万元以下 (含100万元的): 按800元收取:</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中标价超过100万元的: 中标价的千分之(0.1%) ，以30000元封顶。</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二、收费对象</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中标供应商</w:t>
      </w:r>
    </w:p>
    <w:p>
      <w:pPr>
        <w:tabs>
          <w:tab w:val="left" w:pos="540"/>
        </w:tabs>
        <w:spacing w:line="460" w:lineRule="exact"/>
        <w:ind w:left="0" w:leftChars="0" w:firstLine="420" w:firstLineChars="190"/>
        <w:rPr>
          <w:rFonts w:hint="eastAsia" w:ascii="宋体" w:hAnsi="宋体" w:cs="宋体"/>
          <w:b/>
          <w:bCs/>
          <w:color w:val="auto"/>
          <w:sz w:val="22"/>
          <w:szCs w:val="22"/>
          <w:highlight w:val="none"/>
          <w:lang w:val="en-US" w:eastAsia="zh-CN"/>
        </w:rPr>
      </w:pPr>
      <w:r>
        <w:rPr>
          <w:rFonts w:hint="eastAsia" w:ascii="宋体" w:hAnsi="宋体" w:cs="宋体"/>
          <w:b/>
          <w:bCs/>
          <w:color w:val="auto"/>
          <w:sz w:val="22"/>
          <w:szCs w:val="22"/>
          <w:highlight w:val="none"/>
          <w:lang w:val="en-US" w:eastAsia="zh-CN"/>
        </w:rPr>
        <w:t>三、缴款内容</w:t>
      </w:r>
    </w:p>
    <w:p>
      <w:pPr>
        <w:tabs>
          <w:tab w:val="left" w:pos="540"/>
        </w:tabs>
        <w:spacing w:line="460" w:lineRule="exact"/>
        <w:ind w:left="0" w:leftChars="0" w:firstLine="420" w:firstLineChars="190"/>
        <w:rPr>
          <w:rFonts w:hint="default" w:ascii="宋体" w:hAnsi="宋体" w:eastAsia="宋体" w:cs="宋体"/>
          <w:color w:val="auto"/>
          <w:sz w:val="22"/>
          <w:szCs w:val="22"/>
          <w:highlight w:val="none"/>
          <w:lang w:val="en-US" w:eastAsia="zh-CN"/>
        </w:rPr>
      </w:pPr>
      <w:r>
        <w:rPr>
          <w:rFonts w:hint="eastAsia" w:ascii="宋体" w:hAnsi="宋体" w:cs="宋体"/>
          <w:b/>
          <w:bCs/>
          <w:color w:val="auto"/>
          <w:sz w:val="22"/>
          <w:szCs w:val="22"/>
          <w:highlight w:val="none"/>
          <w:lang w:val="en-US" w:eastAsia="zh-CN"/>
        </w:rPr>
        <w:t>各供应商于每次中标结果公示后支付该项目的技术服务费。</w:t>
      </w:r>
    </w:p>
    <w:p>
      <w:pPr>
        <w:tabs>
          <w:tab w:val="left" w:pos="540"/>
        </w:tabs>
        <w:spacing w:line="460" w:lineRule="exact"/>
        <w:jc w:val="center"/>
        <w:rPr>
          <w:rFonts w:ascii="宋体" w:hAnsi="宋体"/>
          <w:color w:val="auto"/>
          <w:sz w:val="22"/>
          <w:szCs w:val="22"/>
          <w:highlight w:val="none"/>
        </w:rPr>
      </w:pPr>
      <w:r>
        <w:rPr>
          <w:rFonts w:hint="eastAsia" w:ascii="宋体" w:hAnsi="宋体" w:cs="宋体"/>
          <w:color w:val="auto"/>
          <w:sz w:val="22"/>
          <w:szCs w:val="22"/>
          <w:highlight w:val="none"/>
        </w:rPr>
        <w:br w:type="page"/>
      </w:r>
      <w:bookmarkStart w:id="119" w:name="_Toc1990"/>
      <w:bookmarkStart w:id="120" w:name="_Toc262105506"/>
      <w:bookmarkStart w:id="121" w:name="_Toc239145357"/>
      <w:bookmarkStart w:id="122" w:name="_Toc221423622"/>
      <w:bookmarkStart w:id="123" w:name="_Toc221356890"/>
      <w:bookmarkStart w:id="124" w:name="_Toc245722284"/>
      <w:bookmarkStart w:id="125" w:name="_Toc241404205"/>
      <w:bookmarkStart w:id="126" w:name="_Toc223716001"/>
      <w:bookmarkStart w:id="127" w:name="_Toc246261268"/>
      <w:bookmarkStart w:id="128" w:name="_Toc262049421"/>
      <w:bookmarkStart w:id="129" w:name="_Toc245191317"/>
      <w:bookmarkStart w:id="130" w:name="_Toc249758715"/>
      <w:bookmarkStart w:id="131" w:name="_Toc221374629"/>
      <w:bookmarkStart w:id="132" w:name="_Toc221356954"/>
      <w:bookmarkStart w:id="133" w:name="_Toc249758867"/>
      <w:bookmarkStart w:id="134" w:name="_Toc222114882"/>
      <w:r>
        <w:rPr>
          <w:rStyle w:val="43"/>
          <w:rFonts w:hint="eastAsia" w:ascii="宋体" w:hAnsi="宋体" w:eastAsia="宋体" w:cs="宋体"/>
          <w:color w:val="auto"/>
          <w:sz w:val="36"/>
          <w:szCs w:val="36"/>
          <w:highlight w:val="none"/>
        </w:rPr>
        <w:t>第二部分   采购内容及要求</w:t>
      </w:r>
      <w:bookmarkEnd w:id="119"/>
      <w:bookmarkStart w:id="135" w:name="_Toc168376760"/>
      <w:bookmarkStart w:id="136" w:name="_Toc177451498"/>
      <w:bookmarkStart w:id="137" w:name="_Toc195098605"/>
      <w:bookmarkStart w:id="138" w:name="_Toc263083259"/>
    </w:p>
    <w:bookmarkEnd w:id="135"/>
    <w:bookmarkEnd w:id="136"/>
    <w:p>
      <w:pPr>
        <w:autoSpaceDE w:val="0"/>
        <w:autoSpaceDN w:val="0"/>
        <w:adjustRightInd w:val="0"/>
        <w:snapToGrid w:val="0"/>
        <w:spacing w:line="440" w:lineRule="exact"/>
        <w:jc w:val="left"/>
        <w:textAlignment w:val="bottom"/>
        <w:rPr>
          <w:rFonts w:ascii="宋体" w:hAnsi="宋体" w:cs="宋体"/>
          <w:b/>
          <w:color w:val="auto"/>
          <w:sz w:val="22"/>
          <w:szCs w:val="22"/>
          <w:highlight w:val="none"/>
        </w:rPr>
      </w:pPr>
      <w:r>
        <w:rPr>
          <w:rFonts w:hint="eastAsia" w:ascii="宋体" w:hAnsi="宋体" w:cs="宋体"/>
          <w:b/>
          <w:color w:val="auto"/>
          <w:sz w:val="22"/>
          <w:szCs w:val="22"/>
          <w:highlight w:val="none"/>
        </w:rPr>
        <w:t>一、采购说明</w:t>
      </w:r>
    </w:p>
    <w:p>
      <w:pPr>
        <w:spacing w:line="440" w:lineRule="exact"/>
        <w:ind w:firstLine="450"/>
        <w:rPr>
          <w:rFonts w:ascii="宋体" w:hAnsi="宋体" w:cs="宋体"/>
          <w:color w:val="auto"/>
          <w:sz w:val="22"/>
          <w:szCs w:val="22"/>
          <w:highlight w:val="none"/>
        </w:rPr>
      </w:pPr>
      <w:r>
        <w:rPr>
          <w:rFonts w:hint="eastAsia" w:ascii="宋体" w:hAnsi="宋体" w:cs="宋体"/>
          <w:color w:val="auto"/>
          <w:sz w:val="22"/>
          <w:szCs w:val="22"/>
          <w:highlight w:val="none"/>
        </w:rPr>
        <w:t>本次采购为1</w:t>
      </w:r>
      <w:r>
        <w:rPr>
          <w:rFonts w:hint="eastAsia" w:ascii="宋体" w:hAnsi="宋体" w:cs="宋体"/>
          <w:color w:val="auto"/>
          <w:sz w:val="22"/>
          <w:szCs w:val="22"/>
          <w:highlight w:val="none"/>
          <w:lang w:val="en-US" w:eastAsia="zh-CN"/>
        </w:rPr>
        <w:t>套</w:t>
      </w:r>
      <w:r>
        <w:rPr>
          <w:rFonts w:hint="eastAsia" w:ascii="宋体" w:hAnsi="宋体" w:cs="宋体"/>
          <w:color w:val="auto"/>
          <w:sz w:val="22"/>
          <w:szCs w:val="22"/>
          <w:highlight w:val="none"/>
          <w:lang w:eastAsia="zh-CN"/>
        </w:rPr>
        <w:t>教育部职业院校中台数据对接服务</w:t>
      </w:r>
      <w:r>
        <w:rPr>
          <w:rFonts w:hint="eastAsia" w:ascii="宋体" w:hAnsi="宋体" w:cs="宋体"/>
          <w:color w:val="auto"/>
          <w:sz w:val="22"/>
          <w:szCs w:val="22"/>
          <w:highlight w:val="none"/>
        </w:rPr>
        <w:t>采购。产品的提供及相应的技术、售后服务，需满足本采购文件及相关标准、规范的要求。</w:t>
      </w:r>
    </w:p>
    <w:p>
      <w:pPr>
        <w:spacing w:line="440" w:lineRule="exact"/>
        <w:ind w:firstLine="450"/>
        <w:rPr>
          <w:rFonts w:ascii="宋体" w:hAnsi="宋体" w:cs="宋体"/>
          <w:color w:val="auto"/>
          <w:sz w:val="22"/>
          <w:szCs w:val="22"/>
          <w:highlight w:val="none"/>
        </w:rPr>
      </w:pPr>
      <w:r>
        <w:rPr>
          <w:rFonts w:hint="eastAsia" w:ascii="宋体" w:hAnsi="宋体" w:cs="宋体"/>
          <w:color w:val="auto"/>
          <w:sz w:val="22"/>
          <w:szCs w:val="22"/>
          <w:highlight w:val="none"/>
        </w:rPr>
        <w:t>投标方应根据采购文件所提出的产品技术规格、参数、数量和服务要求，综合考虑产品的适应性，选择具有最佳性能价格比的产品前来投标。希望投标方以精良的产品、优良的服务和优惠的价格，充分显示自身的竞争实力。</w:t>
      </w:r>
    </w:p>
    <w:p>
      <w:pPr>
        <w:spacing w:line="440" w:lineRule="exact"/>
        <w:ind w:firstLine="450"/>
        <w:rPr>
          <w:rFonts w:ascii="宋体" w:hAnsi="宋体" w:cs="宋体"/>
          <w:color w:val="auto"/>
          <w:sz w:val="22"/>
          <w:szCs w:val="22"/>
          <w:highlight w:val="none"/>
        </w:rPr>
      </w:pPr>
      <w:r>
        <w:rPr>
          <w:rFonts w:hint="eastAsia" w:ascii="宋体" w:hAnsi="宋体" w:cs="宋体"/>
          <w:color w:val="auto"/>
          <w:sz w:val="22"/>
          <w:szCs w:val="22"/>
          <w:highlight w:val="none"/>
        </w:rPr>
        <w:t>投标方须对采购文件中涉及到的知识产权负责，并保证不伤害业主的利益。在法律范围内，所有文字、商标和技术侵权造成的相关费用，业主概不负责。</w:t>
      </w:r>
    </w:p>
    <w:p>
      <w:pPr>
        <w:pStyle w:val="17"/>
        <w:ind w:firstLine="0" w:firstLineChars="0"/>
        <w:rPr>
          <w:color w:val="auto"/>
          <w:highlight w:val="none"/>
        </w:rPr>
      </w:pPr>
      <w:r>
        <w:rPr>
          <w:rFonts w:hint="eastAsia" w:ascii="宋体" w:hAnsi="宋体" w:cs="宋体"/>
          <w:b/>
          <w:color w:val="auto"/>
          <w:sz w:val="22"/>
          <w:szCs w:val="22"/>
          <w:highlight w:val="none"/>
        </w:rPr>
        <w:t>二、采购内容及要求</w:t>
      </w:r>
    </w:p>
    <w:p>
      <w:pPr>
        <w:spacing w:line="440" w:lineRule="exact"/>
        <w:rPr>
          <w:rFonts w:ascii="宋体" w:hAnsi="宋体" w:cs="宋体"/>
          <w:color w:val="auto"/>
          <w:sz w:val="22"/>
          <w:szCs w:val="22"/>
          <w:highlight w:val="none"/>
        </w:rPr>
      </w:pPr>
      <w:r>
        <w:rPr>
          <w:rFonts w:hint="eastAsia" w:ascii="宋体" w:hAnsi="宋体" w:cs="宋体"/>
          <w:color w:val="auto"/>
          <w:sz w:val="22"/>
          <w:szCs w:val="22"/>
          <w:highlight w:val="none"/>
        </w:rPr>
        <w:t>1、采购内容清单</w:t>
      </w:r>
    </w:p>
    <w:tbl>
      <w:tblPr>
        <w:tblStyle w:val="35"/>
        <w:tblW w:w="4998"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391"/>
        <w:gridCol w:w="6020"/>
        <w:gridCol w:w="24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0" w:hRule="atLeast"/>
        </w:trPr>
        <w:tc>
          <w:tcPr>
            <w:tcW w:w="706" w:type="pct"/>
            <w:shd w:val="clear" w:color="auto" w:fill="auto"/>
            <w:vAlign w:val="center"/>
          </w:tcPr>
          <w:p>
            <w:pPr>
              <w:spacing w:line="320" w:lineRule="exact"/>
              <w:jc w:val="center"/>
              <w:rPr>
                <w:b/>
                <w:bCs/>
                <w:color w:val="auto"/>
                <w:sz w:val="22"/>
                <w:szCs w:val="22"/>
                <w:highlight w:val="none"/>
              </w:rPr>
            </w:pPr>
            <w:r>
              <w:rPr>
                <w:rFonts w:hint="eastAsia"/>
                <w:b/>
                <w:bCs/>
                <w:color w:val="auto"/>
                <w:sz w:val="22"/>
                <w:szCs w:val="22"/>
                <w:highlight w:val="none"/>
              </w:rPr>
              <w:t>序号</w:t>
            </w:r>
          </w:p>
        </w:tc>
        <w:tc>
          <w:tcPr>
            <w:tcW w:w="3055" w:type="pct"/>
            <w:shd w:val="clear" w:color="auto" w:fill="auto"/>
            <w:vAlign w:val="center"/>
          </w:tcPr>
          <w:p>
            <w:pPr>
              <w:spacing w:line="320" w:lineRule="exact"/>
              <w:jc w:val="center"/>
              <w:rPr>
                <w:b/>
                <w:bCs/>
                <w:color w:val="auto"/>
                <w:sz w:val="22"/>
                <w:szCs w:val="22"/>
                <w:highlight w:val="none"/>
              </w:rPr>
            </w:pPr>
            <w:r>
              <w:rPr>
                <w:rFonts w:hint="eastAsia"/>
                <w:b/>
                <w:bCs/>
                <w:color w:val="auto"/>
                <w:sz w:val="22"/>
                <w:szCs w:val="22"/>
                <w:highlight w:val="none"/>
              </w:rPr>
              <w:t>产品名称</w:t>
            </w:r>
          </w:p>
        </w:tc>
        <w:tc>
          <w:tcPr>
            <w:tcW w:w="1238" w:type="pct"/>
            <w:shd w:val="clear" w:color="auto" w:fill="auto"/>
            <w:vAlign w:val="center"/>
          </w:tcPr>
          <w:p>
            <w:pPr>
              <w:spacing w:line="320" w:lineRule="exact"/>
              <w:jc w:val="center"/>
              <w:rPr>
                <w:b/>
                <w:bCs/>
                <w:color w:val="auto"/>
                <w:sz w:val="22"/>
                <w:szCs w:val="22"/>
                <w:highlight w:val="none"/>
              </w:rPr>
            </w:pPr>
            <w:r>
              <w:rPr>
                <w:rFonts w:hint="eastAsia"/>
                <w:b/>
                <w:bCs/>
                <w:color w:val="auto"/>
                <w:sz w:val="22"/>
                <w:szCs w:val="22"/>
                <w:highlight w:val="none"/>
              </w:rPr>
              <w:t>数量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25" w:hRule="atLeast"/>
        </w:trPr>
        <w:tc>
          <w:tcPr>
            <w:tcW w:w="706" w:type="pct"/>
            <w:shd w:val="clear" w:color="auto" w:fill="auto"/>
            <w:vAlign w:val="center"/>
          </w:tcPr>
          <w:p>
            <w:pPr>
              <w:spacing w:line="320" w:lineRule="exact"/>
              <w:jc w:val="center"/>
              <w:rPr>
                <w:color w:val="auto"/>
                <w:sz w:val="22"/>
                <w:szCs w:val="22"/>
                <w:highlight w:val="none"/>
              </w:rPr>
            </w:pPr>
            <w:r>
              <w:rPr>
                <w:rFonts w:hint="eastAsia"/>
                <w:color w:val="auto"/>
                <w:sz w:val="22"/>
                <w:szCs w:val="22"/>
                <w:highlight w:val="none"/>
              </w:rPr>
              <w:t>1</w:t>
            </w:r>
          </w:p>
        </w:tc>
        <w:tc>
          <w:tcPr>
            <w:tcW w:w="3055" w:type="pct"/>
            <w:shd w:val="clear" w:color="auto" w:fill="auto"/>
            <w:vAlign w:val="center"/>
          </w:tcPr>
          <w:p>
            <w:pPr>
              <w:spacing w:line="32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eastAsia="zh-CN"/>
              </w:rPr>
              <w:t>教育部职业院校中台数据对接服务</w:t>
            </w:r>
          </w:p>
        </w:tc>
        <w:tc>
          <w:tcPr>
            <w:tcW w:w="1238" w:type="pct"/>
            <w:shd w:val="clear" w:color="auto" w:fill="auto"/>
            <w:vAlign w:val="center"/>
          </w:tcPr>
          <w:p>
            <w:pPr>
              <w:spacing w:line="320" w:lineRule="exact"/>
              <w:jc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rPr>
              <w:t>1</w:t>
            </w:r>
            <w:r>
              <w:rPr>
                <w:rFonts w:hint="eastAsia" w:ascii="宋体" w:hAnsi="宋体" w:cs="宋体"/>
                <w:color w:val="auto"/>
                <w:sz w:val="22"/>
                <w:szCs w:val="22"/>
                <w:highlight w:val="none"/>
                <w:lang w:val="en-US" w:eastAsia="zh-CN"/>
              </w:rPr>
              <w:t>套</w:t>
            </w:r>
          </w:p>
        </w:tc>
      </w:tr>
    </w:tbl>
    <w:p>
      <w:pPr>
        <w:rPr>
          <w:color w:val="auto"/>
          <w:highlight w:val="none"/>
        </w:rPr>
      </w:pPr>
    </w:p>
    <w:bookmarkEnd w:id="137"/>
    <w:bookmarkEnd w:id="138"/>
    <w:p>
      <w:pPr>
        <w:kinsoku w:val="0"/>
        <w:rPr>
          <w:rFonts w:ascii="微软雅黑" w:hAnsi="微软雅黑"/>
          <w:color w:val="auto"/>
          <w:sz w:val="24"/>
          <w:highlight w:val="none"/>
        </w:rPr>
      </w:pPr>
      <w:r>
        <w:rPr>
          <w:rFonts w:hint="eastAsia" w:ascii="宋体" w:hAnsi="宋体" w:cs="宋体"/>
          <w:color w:val="auto"/>
          <w:sz w:val="22"/>
          <w:szCs w:val="22"/>
          <w:highlight w:val="none"/>
        </w:rPr>
        <w:t>2、技术要求</w:t>
      </w:r>
    </w:p>
    <w:p>
      <w:pPr>
        <w:numPr>
          <w:ilvl w:val="0"/>
          <w:numId w:val="31"/>
        </w:num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离线数据集成系统</w:t>
      </w:r>
    </w:p>
    <w:p>
      <w:pPr>
        <w:spacing w:line="40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▲要求提供“离线数据集成系统”一年的使用权并配合学校开展教育部职业院校中台数据对接。</w:t>
      </w:r>
    </w:p>
    <w:p>
      <w:pPr>
        <w:spacing w:line="40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系统支持与学校数据中台对接，获取数据中台已有的数据。中标方需承担二次开发接口费。</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采用B/S架构, 基于纯Web页面完成EXCEL数据采集的模板设置、模板下载管理、数据上传和数据在线维护，并提供数据上传过程中的数据质量规则校验；</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支持自定义离线数据采集库，满足多人多业务采集能力；</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支持数据在线建模及数据库同步；</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支持数据模板格式的在线调整设计，需满足数据单元格内容校验限制规则设置；</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支持格式化数据采集模板下载，模板需满足数据单元格内容校验限制；</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支持格式化数据采集模板及数据下载，模板需附带样例数据；</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支持自定义灵活扩展数据采集校验规则库；</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支持按模板文件进行数据批量上传，并能够在线二次调校、补齐数据后导入采集入库；</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支持在线数据二次调校，调整的操作符合单元格批量拷贝、剪切、粘贴、拖拽设值、自动识别日期单元格日期控件、自动识别代码引用单元格代码下拉选择；</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支持多表数据集模板下载，可同时支持多Sheet页批量导入；</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支持数据批量导入支持按主键更新操作；</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支持全量与增量两种模式的数据采集；</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支持直接通过上传本地Excel文件，在线识别字段列与数据，自动智能建模、建表，并能够在线二次调校、补齐数据后导入采集入库；</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支持在线对单元格内数据进行批量拷贝、剪切、粘贴、拖拽设值等便捷二次调校、补齐数据后，批量上传导入数据采集入库；</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支持多Sheet页批量采集，可按一个Excel自动形成多Sheet数据表的数据集；</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支持数据采集后的在线查阅维护，能够在线调整、补漏数据，提供单元格批量拷贝、剪切、粘贴、拖拽设值，数据即改即存；</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支持字段单元格类型自动识别，提供代码引用下拉列表组件、日期组件自适应；</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支持数据在线录入的即时校验，拦截不规范数据入库；</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支持数据查阅对任意字段的模糊过滤；</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数据模板支持设计大字段存储文件数据，可在线进行文件（附件）的采集，并支持图片、pdf等文件的在线预览、下载；</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支持关联字段的自动化填充；</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支持非空字段的空值校验及填充色提示；</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支持数据删除提供物理删除和软删除两种模式选择；</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支持面向业务部门或职务岗位角色进行线下数据采集权限分发，可由相关负责人进行独立操作上传采集线下数据；</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支持面向业务部门或职务岗位角色开放数据模型删除、修改、数据查询、数据维护的能力；</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支持满足到字段列与数据行级别的权限分发，做到一表多人维护，数据互不干扰；</w:t>
      </w:r>
    </w:p>
    <w:p>
      <w:pPr>
        <w:numPr>
          <w:ilvl w:val="0"/>
          <w:numId w:val="31"/>
        </w:numPr>
        <w:spacing w:line="400" w:lineRule="exact"/>
        <w:rPr>
          <w:rFonts w:ascii="宋体" w:hAnsi="宋体" w:cs="宋体"/>
          <w:color w:val="auto"/>
          <w:sz w:val="22"/>
          <w:szCs w:val="22"/>
          <w:highlight w:val="none"/>
        </w:rPr>
      </w:pPr>
      <w:r>
        <w:rPr>
          <w:rFonts w:hint="eastAsia" w:ascii="宋体" w:hAnsi="宋体" w:cs="宋体"/>
          <w:b/>
          <w:bCs/>
          <w:color w:val="auto"/>
          <w:sz w:val="22"/>
          <w:szCs w:val="22"/>
          <w:highlight w:val="none"/>
        </w:rPr>
        <w:t>数据历史管理</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支持完整历史数据切片留存和备份。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支持数据生命周期链，以数据变化为周期的自动化数据切片链。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提供数据变动情况统计查询、围绕数据动态时间事件轴。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支持精准捕获数据片断全局快照与变更快照，能够在平台内查询并导出某个历史时间点的数据状况和代码标准情况以及变动明细情况,导出 Excel供线下或其他分析使用。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支持历史数据黑名单和白名单两种机制，实现对需要进行历史归档的数据的掌控配置。 </w:t>
      </w:r>
    </w:p>
    <w:p>
      <w:pPr>
        <w:spacing w:line="4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支持数据归档备份调度策略管理，提供备份任务执行的日志信息，对非正常情况下备份失败的数据进行日志查询。 </w:t>
      </w:r>
    </w:p>
    <w:p>
      <w:pPr>
        <w:numPr>
          <w:ilvl w:val="0"/>
          <w:numId w:val="31"/>
        </w:num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数据质量监测</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支持对上报的数据进行数据质量的预检测。数据标准是数据质量稽核规则的主要参考依据，通过将数据质量稽核规则与数据标准关联，一方面可以实现字段级的数据质量校验，另一方面也可以直接构建较为通用的数据质量稽核规则体系，确保规则的全面性和可用性。</w:t>
      </w:r>
    </w:p>
    <w:p>
      <w:pPr>
        <w:numPr>
          <w:ilvl w:val="0"/>
          <w:numId w:val="31"/>
        </w:num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数据审核管控</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支持以“前置库”的形式储存待上报的数据。</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支持将采集、清洗后的数据预先存储到“前置库”。</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支持自定义数据审核流程，支持数据二次调整，将不符合规则、不符合预期的数据进行调整。</w:t>
      </w:r>
    </w:p>
    <w:p>
      <w:pPr>
        <w:numPr>
          <w:ilvl w:val="0"/>
          <w:numId w:val="31"/>
        </w:numPr>
        <w:spacing w:line="40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数据上报</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全国职业教育智慧大脑院校中台是国家职业教育智慧治理体系的重要组成部分，通过国家、省级、市、县区、学校信息管理平台汇聚实时数据，促进数据的跨层级、跨地域、跨部门有序流动。运用云计算、大数据等新技术加大数据分析应用的力度、深度和效果，通过可视化界面进行智能管理，实现资源信息个性化、精准化、智能化推荐和服务，为管理人员和决策者提供及时、全面、精准的数据支持，逐步形成“数治教育”新体系，提高决策的科学性。</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数据对接内容</w:t>
      </w:r>
    </w:p>
    <w:p>
      <w:pPr>
        <w:spacing w:line="400" w:lineRule="exact"/>
        <w:ind w:firstLine="440" w:firstLineChars="200"/>
        <w:rPr>
          <w:rFonts w:ascii="宋体" w:hAnsi="宋体" w:cs="宋体"/>
          <w:strike/>
          <w:color w:val="auto"/>
          <w:sz w:val="22"/>
          <w:szCs w:val="22"/>
          <w:highlight w:val="none"/>
        </w:rPr>
      </w:pPr>
      <w:r>
        <w:rPr>
          <w:rFonts w:hint="eastAsia" w:ascii="宋体" w:hAnsi="宋体" w:cs="宋体"/>
          <w:color w:val="auto"/>
          <w:sz w:val="22"/>
          <w:szCs w:val="22"/>
          <w:highlight w:val="none"/>
        </w:rPr>
        <w:t>“全国职业教育智慧大脑院校数据中台”对职业院校的学校概况、教学管理、教职工管理、学生管理、党建思政、资产与设备管理、科研管理、服务管理等八方面提出了数据标准化要求。</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数据对接方式</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全国职业教育智慧大脑院校中台数据对接，采用标准化数据接口推送模式。接口设计遵循RESTful 模式，各院校可通过数据接口采集 API，按照数据对接接口开发规范，实现学校数据上报。</w:t>
      </w:r>
    </w:p>
    <w:p>
      <w:pPr>
        <w:spacing w:line="400" w:lineRule="exact"/>
        <w:ind w:firstLine="440" w:firstLineChars="200"/>
        <w:rPr>
          <w:rFonts w:hint="eastAsia" w:ascii="宋体" w:hAnsi="宋体" w:eastAsia="宋体" w:cs="宋体"/>
          <w:color w:val="auto"/>
          <w:sz w:val="22"/>
          <w:szCs w:val="22"/>
          <w:highlight w:val="none"/>
          <w:lang w:val="en-US" w:eastAsia="zh-CN"/>
        </w:rPr>
      </w:pPr>
      <w:r>
        <w:rPr>
          <w:rFonts w:hint="eastAsia" w:ascii="宋体" w:hAnsi="宋体" w:cs="宋体"/>
          <w:color w:val="auto"/>
          <w:sz w:val="22"/>
          <w:szCs w:val="22"/>
          <w:highlight w:val="none"/>
        </w:rPr>
        <w:t>数据服务要求</w:t>
      </w:r>
      <w:r>
        <w:rPr>
          <w:rFonts w:hint="eastAsia" w:ascii="宋体" w:hAnsi="宋体" w:cs="宋体"/>
          <w:color w:val="auto"/>
          <w:sz w:val="22"/>
          <w:szCs w:val="22"/>
          <w:highlight w:val="none"/>
          <w:lang w:val="en-US" w:eastAsia="zh-CN"/>
        </w:rPr>
        <w:t xml:space="preserve"> </w:t>
      </w:r>
    </w:p>
    <w:p>
      <w:pPr>
        <w:spacing w:line="400" w:lineRule="exact"/>
        <w:ind w:firstLine="442" w:firstLineChars="200"/>
        <w:rPr>
          <w:rFonts w:hint="default" w:ascii="宋体" w:hAnsi="宋体" w:eastAsia="宋体" w:cs="宋体"/>
          <w:b/>
          <w:bCs/>
          <w:color w:val="auto"/>
          <w:sz w:val="22"/>
          <w:szCs w:val="22"/>
          <w:highlight w:val="none"/>
          <w:lang w:val="en-US" w:eastAsia="zh-CN"/>
        </w:rPr>
      </w:pPr>
      <w:r>
        <w:rPr>
          <w:rFonts w:hint="eastAsia" w:ascii="宋体" w:hAnsi="宋体" w:cs="宋体"/>
          <w:b/>
          <w:bCs/>
          <w:color w:val="auto"/>
          <w:sz w:val="22"/>
          <w:szCs w:val="22"/>
          <w:highlight w:val="none"/>
        </w:rPr>
        <w:t>▲</w:t>
      </w:r>
      <w:r>
        <w:rPr>
          <w:rFonts w:hint="eastAsia" w:ascii="宋体" w:hAnsi="宋体" w:cs="宋体"/>
          <w:b/>
          <w:bCs/>
          <w:color w:val="auto"/>
          <w:sz w:val="22"/>
          <w:szCs w:val="22"/>
          <w:highlight w:val="none"/>
          <w:u w:val="single"/>
        </w:rPr>
        <w:t>要求中标方提供不低于3人项目班组成员（含项目负责人），其中具备中级及以上</w:t>
      </w:r>
      <w:r>
        <w:rPr>
          <w:rFonts w:hint="eastAsia" w:ascii="宋体" w:hAnsi="宋体" w:cs="宋体"/>
          <w:b/>
          <w:bCs/>
          <w:color w:val="auto"/>
          <w:sz w:val="22"/>
          <w:szCs w:val="22"/>
          <w:highlight w:val="none"/>
          <w:u w:val="single"/>
          <w:lang w:val="en-US" w:eastAsia="zh-CN"/>
        </w:rPr>
        <w:t>工程师</w:t>
      </w:r>
      <w:r>
        <w:rPr>
          <w:rFonts w:hint="eastAsia" w:ascii="宋体" w:hAnsi="宋体" w:cs="宋体"/>
          <w:b/>
          <w:bCs/>
          <w:color w:val="auto"/>
          <w:sz w:val="22"/>
          <w:szCs w:val="22"/>
          <w:highlight w:val="none"/>
          <w:u w:val="single"/>
        </w:rPr>
        <w:t>不少于3人，且需安排1名工程师</w:t>
      </w:r>
      <w:r>
        <w:rPr>
          <w:rFonts w:hint="eastAsia" w:ascii="宋体" w:hAnsi="宋体" w:cs="宋体"/>
          <w:b/>
          <w:bCs/>
          <w:color w:val="auto"/>
          <w:sz w:val="22"/>
          <w:szCs w:val="22"/>
          <w:highlight w:val="none"/>
          <w:u w:val="single"/>
          <w:lang w:val="en-US" w:eastAsia="zh-CN"/>
        </w:rPr>
        <w:t>在</w:t>
      </w:r>
      <w:r>
        <w:rPr>
          <w:rFonts w:hint="eastAsia" w:ascii="宋体" w:hAnsi="宋体" w:cs="宋体"/>
          <w:b/>
          <w:bCs/>
          <w:color w:val="auto"/>
          <w:sz w:val="22"/>
          <w:szCs w:val="22"/>
          <w:highlight w:val="none"/>
          <w:u w:val="single"/>
        </w:rPr>
        <w:t>服务期间驻点，及时响应采购人的需求</w:t>
      </w:r>
      <w:r>
        <w:rPr>
          <w:rFonts w:hint="eastAsia" w:ascii="宋体" w:hAnsi="宋体" w:cs="宋体"/>
          <w:b/>
          <w:bCs/>
          <w:color w:val="auto"/>
          <w:sz w:val="22"/>
          <w:szCs w:val="22"/>
          <w:highlight w:val="none"/>
          <w:u w:val="single"/>
          <w:lang w:eastAsia="zh-CN"/>
        </w:rPr>
        <w:t>。</w:t>
      </w:r>
      <w:r>
        <w:rPr>
          <w:rFonts w:hint="eastAsia" w:ascii="宋体" w:hAnsi="宋体" w:cs="宋体"/>
          <w:b/>
          <w:bCs/>
          <w:color w:val="auto"/>
          <w:sz w:val="22"/>
          <w:szCs w:val="22"/>
          <w:highlight w:val="none"/>
          <w:u w:val="single"/>
        </w:rPr>
        <w:t>采购人</w:t>
      </w:r>
      <w:r>
        <w:rPr>
          <w:rFonts w:hint="eastAsia" w:ascii="宋体" w:hAnsi="宋体" w:cs="宋体"/>
          <w:b/>
          <w:bCs/>
          <w:color w:val="auto"/>
          <w:sz w:val="22"/>
          <w:szCs w:val="22"/>
          <w:highlight w:val="none"/>
          <w:u w:val="single"/>
          <w:lang w:val="en-US" w:eastAsia="zh-CN"/>
        </w:rPr>
        <w:t>仅</w:t>
      </w:r>
      <w:r>
        <w:rPr>
          <w:rFonts w:hint="eastAsia" w:ascii="宋体" w:hAnsi="宋体" w:cs="宋体"/>
          <w:b/>
          <w:bCs/>
          <w:color w:val="auto"/>
          <w:sz w:val="22"/>
          <w:szCs w:val="22"/>
          <w:highlight w:val="none"/>
          <w:u w:val="single"/>
        </w:rPr>
        <w:t>提供</w:t>
      </w:r>
      <w:r>
        <w:rPr>
          <w:rFonts w:hint="eastAsia" w:ascii="宋体" w:hAnsi="宋体" w:cs="宋体"/>
          <w:b/>
          <w:bCs/>
          <w:color w:val="auto"/>
          <w:sz w:val="22"/>
          <w:szCs w:val="22"/>
          <w:highlight w:val="none"/>
          <w:u w:val="single"/>
          <w:lang w:val="en-US" w:eastAsia="zh-CN"/>
        </w:rPr>
        <w:t>办公</w:t>
      </w:r>
      <w:r>
        <w:rPr>
          <w:rFonts w:hint="eastAsia" w:ascii="宋体" w:hAnsi="宋体" w:cs="宋体"/>
          <w:b/>
          <w:bCs/>
          <w:color w:val="auto"/>
          <w:sz w:val="22"/>
          <w:szCs w:val="22"/>
          <w:highlight w:val="none"/>
          <w:u w:val="single"/>
        </w:rPr>
        <w:t>场地，办公设备</w:t>
      </w:r>
      <w:r>
        <w:rPr>
          <w:rFonts w:hint="eastAsia" w:ascii="宋体" w:hAnsi="宋体" w:cs="宋体"/>
          <w:b/>
          <w:bCs/>
          <w:color w:val="auto"/>
          <w:sz w:val="22"/>
          <w:szCs w:val="22"/>
          <w:highlight w:val="none"/>
          <w:u w:val="single"/>
          <w:lang w:val="en-US" w:eastAsia="zh-CN"/>
        </w:rPr>
        <w:t>及食宿由中标方</w:t>
      </w:r>
      <w:r>
        <w:rPr>
          <w:rFonts w:hint="eastAsia" w:ascii="宋体" w:hAnsi="宋体" w:cs="宋体"/>
          <w:b/>
          <w:bCs/>
          <w:color w:val="auto"/>
          <w:sz w:val="22"/>
          <w:szCs w:val="22"/>
          <w:highlight w:val="none"/>
          <w:u w:val="single"/>
        </w:rPr>
        <w:t>自理。工程师均要求具备数据治理工程师或数据安全工程师或数据安全审计师资格证书（要求提供证书截图并加盖</w:t>
      </w:r>
      <w:r>
        <w:rPr>
          <w:rFonts w:hint="eastAsia" w:ascii="宋体" w:hAnsi="宋体" w:cs="宋体"/>
          <w:b/>
          <w:bCs/>
          <w:color w:val="auto"/>
          <w:sz w:val="22"/>
          <w:szCs w:val="22"/>
          <w:highlight w:val="none"/>
          <w:u w:val="single"/>
          <w:lang w:val="en-US" w:eastAsia="zh-CN"/>
        </w:rPr>
        <w:t>公章</w:t>
      </w:r>
      <w:r>
        <w:rPr>
          <w:rFonts w:hint="eastAsia" w:ascii="宋体" w:hAnsi="宋体" w:cs="宋体"/>
          <w:b/>
          <w:bCs/>
          <w:color w:val="auto"/>
          <w:sz w:val="22"/>
          <w:szCs w:val="22"/>
          <w:highlight w:val="none"/>
          <w:u w:val="single"/>
        </w:rPr>
        <w:t>）；</w:t>
      </w:r>
    </w:p>
    <w:p>
      <w:pPr>
        <w:numPr>
          <w:ilvl w:val="0"/>
          <w:numId w:val="31"/>
        </w:numPr>
        <w:spacing w:line="400" w:lineRule="exact"/>
        <w:rPr>
          <w:rFonts w:ascii="宋体" w:hAnsi="宋体" w:cs="宋体"/>
          <w:b/>
          <w:bCs/>
          <w:color w:val="auto"/>
          <w:sz w:val="22"/>
          <w:szCs w:val="22"/>
          <w:highlight w:val="none"/>
        </w:rPr>
      </w:pPr>
      <w:bookmarkStart w:id="139" w:name="_Hlk163812870"/>
      <w:r>
        <w:rPr>
          <w:rFonts w:hint="eastAsia" w:ascii="宋体" w:hAnsi="宋体" w:cs="宋体"/>
          <w:b/>
          <w:bCs/>
          <w:color w:val="auto"/>
          <w:sz w:val="22"/>
          <w:szCs w:val="22"/>
          <w:highlight w:val="none"/>
        </w:rPr>
        <w:t>▲</w:t>
      </w:r>
      <w:bookmarkEnd w:id="139"/>
      <w:r>
        <w:rPr>
          <w:rFonts w:hint="eastAsia" w:ascii="宋体" w:hAnsi="宋体" w:cs="宋体"/>
          <w:b/>
          <w:bCs/>
          <w:color w:val="auto"/>
          <w:sz w:val="22"/>
          <w:szCs w:val="22"/>
          <w:highlight w:val="none"/>
        </w:rPr>
        <w:t>支持基于CAS标准的协议框架下实现与学校统一身份认证与门户的集成，消息等需对接学校门户消息中心，中标方需承担二次开发接口费。</w:t>
      </w:r>
    </w:p>
    <w:p>
      <w:pPr>
        <w:spacing w:line="440" w:lineRule="exact"/>
        <w:jc w:val="left"/>
        <w:rPr>
          <w:rFonts w:ascii="宋体" w:hAnsi="宋体"/>
          <w:b/>
          <w:color w:val="auto"/>
          <w:sz w:val="22"/>
          <w:szCs w:val="22"/>
          <w:highlight w:val="none"/>
        </w:rPr>
      </w:pPr>
      <w:r>
        <w:rPr>
          <w:rFonts w:hint="eastAsia" w:ascii="宋体" w:hAnsi="宋体" w:cs="宋体"/>
          <w:b/>
          <w:color w:val="auto"/>
          <w:sz w:val="22"/>
          <w:szCs w:val="22"/>
          <w:highlight w:val="none"/>
        </w:rPr>
        <w:t>三、</w:t>
      </w:r>
      <w:r>
        <w:rPr>
          <w:rFonts w:hint="eastAsia" w:ascii="宋体" w:hAnsi="宋体"/>
          <w:b/>
          <w:color w:val="auto"/>
          <w:sz w:val="22"/>
          <w:szCs w:val="22"/>
          <w:highlight w:val="none"/>
        </w:rPr>
        <w:t xml:space="preserve">  其他要求</w:t>
      </w:r>
    </w:p>
    <w:p>
      <w:pPr>
        <w:widowControl/>
        <w:numPr>
          <w:ilvl w:val="0"/>
          <w:numId w:val="32"/>
        </w:numPr>
        <w:spacing w:line="420" w:lineRule="exact"/>
        <w:rPr>
          <w:rFonts w:ascii="宋体" w:hAnsi="宋体" w:cs="Arial"/>
          <w:color w:val="auto"/>
          <w:sz w:val="22"/>
          <w:szCs w:val="22"/>
          <w:highlight w:val="none"/>
        </w:rPr>
      </w:pPr>
      <w:r>
        <w:rPr>
          <w:rFonts w:hint="eastAsia" w:ascii="宋体" w:hAnsi="宋体" w:cs="Arial"/>
          <w:color w:val="auto"/>
          <w:sz w:val="22"/>
          <w:szCs w:val="22"/>
          <w:highlight w:val="none"/>
        </w:rPr>
        <w:t>项目完工进度保证：</w:t>
      </w:r>
    </w:p>
    <w:p>
      <w:pPr>
        <w:numPr>
          <w:ilvl w:val="0"/>
          <w:numId w:val="33"/>
        </w:numPr>
        <w:snapToGrid w:val="0"/>
        <w:spacing w:line="400" w:lineRule="exact"/>
        <w:jc w:val="left"/>
        <w:rPr>
          <w:rFonts w:ascii="宋体" w:hAnsi="宋体" w:cs="宋体"/>
          <w:color w:val="auto"/>
          <w:sz w:val="22"/>
          <w:szCs w:val="22"/>
          <w:highlight w:val="none"/>
        </w:rPr>
      </w:pPr>
      <w:r>
        <w:rPr>
          <w:rFonts w:hint="eastAsia" w:ascii="宋体" w:hAnsi="宋体" w:cs="宋体"/>
          <w:b/>
          <w:bCs/>
          <w:color w:val="auto"/>
          <w:sz w:val="22"/>
          <w:szCs w:val="22"/>
          <w:highlight w:val="none"/>
          <w:u w:val="none"/>
          <w:lang w:val="en-US" w:eastAsia="zh-CN"/>
        </w:rPr>
        <w:t>本项目须在</w:t>
      </w:r>
      <w:r>
        <w:rPr>
          <w:rFonts w:hint="eastAsia" w:ascii="宋体" w:hAnsi="宋体" w:cs="宋体"/>
          <w:b/>
          <w:bCs/>
          <w:color w:val="auto"/>
          <w:sz w:val="22"/>
          <w:szCs w:val="22"/>
          <w:highlight w:val="none"/>
          <w:u w:val="none"/>
        </w:rPr>
        <w:t>2024年12月前完成2024年全国职业教育智慧大脑院校中台数据全部数据表上报</w:t>
      </w:r>
      <w:r>
        <w:rPr>
          <w:rFonts w:hint="eastAsia" w:ascii="宋体" w:hAnsi="宋体" w:cs="宋体"/>
          <w:b/>
          <w:bCs/>
          <w:color w:val="auto"/>
          <w:sz w:val="22"/>
          <w:szCs w:val="22"/>
          <w:highlight w:val="none"/>
          <w:u w:val="none"/>
          <w:lang w:eastAsia="zh-CN"/>
        </w:rPr>
        <w:t>。</w:t>
      </w:r>
    </w:p>
    <w:p>
      <w:pPr>
        <w:numPr>
          <w:ilvl w:val="0"/>
          <w:numId w:val="33"/>
        </w:numPr>
        <w:snapToGrid w:val="0"/>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lang w:val="en-US" w:eastAsia="zh-CN"/>
        </w:rPr>
        <w:t>最</w:t>
      </w:r>
      <w:r>
        <w:rPr>
          <w:rFonts w:hint="eastAsia" w:ascii="宋体" w:hAnsi="宋体" w:cs="宋体"/>
          <w:color w:val="auto"/>
          <w:sz w:val="22"/>
          <w:szCs w:val="22"/>
          <w:highlight w:val="none"/>
        </w:rPr>
        <w:t>终验收材料包括：项目开发文档（含系统需求规格说明书、设计说明书、数据库设计说明书、数据字典、接口标准、源代码及注释等）和测试文档、用户手册、系统安装调试手册、系统运维手册以及其他在项目方案设计、软件开发等过程中形成的相关文档和可执行程序，其中用户手册要在系统上线前交付。</w:t>
      </w:r>
    </w:p>
    <w:p>
      <w:pPr>
        <w:numPr>
          <w:ilvl w:val="0"/>
          <w:numId w:val="33"/>
        </w:numPr>
        <w:snapToGrid w:val="0"/>
        <w:spacing w:line="4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供应商应按照以上要求，制定详细、可行的工程实施计划。</w:t>
      </w:r>
    </w:p>
    <w:p>
      <w:pPr>
        <w:widowControl/>
        <w:numPr>
          <w:ilvl w:val="0"/>
          <w:numId w:val="32"/>
        </w:numPr>
        <w:spacing w:line="420" w:lineRule="exact"/>
        <w:rPr>
          <w:rFonts w:ascii="宋体" w:hAnsi="宋体" w:cs="Arial"/>
          <w:color w:val="auto"/>
          <w:sz w:val="22"/>
          <w:szCs w:val="22"/>
          <w:highlight w:val="none"/>
        </w:rPr>
      </w:pPr>
      <w:r>
        <w:rPr>
          <w:rFonts w:hint="eastAsia" w:ascii="宋体" w:hAnsi="宋体" w:cs="Arial"/>
          <w:color w:val="auto"/>
          <w:sz w:val="22"/>
          <w:szCs w:val="22"/>
          <w:highlight w:val="none"/>
        </w:rPr>
        <w:t>本项目要求中标供应商在基本业务需求、技术要求和用户实际需求的基础上进行开发，中标供应商需承诺随着用户实际应用的变化，在后期业务调研的需求确认中和质量保证期内对软件系统做出相应的调整和完善。</w:t>
      </w:r>
    </w:p>
    <w:p>
      <w:pPr>
        <w:widowControl/>
        <w:numPr>
          <w:ilvl w:val="0"/>
          <w:numId w:val="32"/>
        </w:numPr>
        <w:spacing w:line="420" w:lineRule="exact"/>
        <w:rPr>
          <w:rFonts w:ascii="宋体" w:hAnsi="宋体" w:cs="Arial"/>
          <w:color w:val="auto"/>
          <w:sz w:val="22"/>
          <w:szCs w:val="22"/>
          <w:highlight w:val="none"/>
        </w:rPr>
      </w:pPr>
      <w:r>
        <w:rPr>
          <w:rFonts w:hint="eastAsia" w:ascii="宋体" w:hAnsi="宋体" w:cs="Arial"/>
          <w:color w:val="auto"/>
          <w:sz w:val="22"/>
          <w:szCs w:val="22"/>
          <w:highlight w:val="none"/>
        </w:rPr>
        <w:t>供应商应本着认真负责的态度组织技术队伍，做好投标的整体方案并提出升级、维护、服务以及今后技术支持的措施计划和承诺。</w:t>
      </w:r>
    </w:p>
    <w:p>
      <w:pPr>
        <w:widowControl/>
        <w:numPr>
          <w:ilvl w:val="0"/>
          <w:numId w:val="32"/>
        </w:numPr>
        <w:spacing w:line="420" w:lineRule="exact"/>
        <w:rPr>
          <w:rFonts w:ascii="宋体" w:hAnsi="宋体" w:cs="Arial"/>
          <w:color w:val="auto"/>
          <w:sz w:val="22"/>
          <w:szCs w:val="22"/>
          <w:highlight w:val="none"/>
        </w:rPr>
      </w:pPr>
      <w:r>
        <w:rPr>
          <w:rFonts w:hint="eastAsia" w:ascii="宋体" w:hAnsi="宋体" w:cs="Arial"/>
          <w:color w:val="auto"/>
          <w:sz w:val="22"/>
          <w:szCs w:val="22"/>
          <w:highlight w:val="none"/>
        </w:rPr>
        <w:t>供应商须保证位本项目所提供的所有涉及第三方的软件产品均具有合法的版权或使用权，如在本项目范围内使用过程中出现版权或使用权纠纷，应由中标供应商负责，采购人和采购机构不承担责任。</w:t>
      </w:r>
    </w:p>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p>
      <w:pPr>
        <w:pStyle w:val="4"/>
        <w:numPr>
          <w:ilvl w:val="0"/>
          <w:numId w:val="34"/>
        </w:numPr>
        <w:rPr>
          <w:rFonts w:ascii="宋体" w:hAnsi="宋体" w:eastAsia="宋体" w:cs="宋体"/>
          <w:color w:val="auto"/>
          <w:sz w:val="36"/>
          <w:szCs w:val="36"/>
          <w:highlight w:val="none"/>
        </w:rPr>
      </w:pPr>
      <w:bookmarkStart w:id="140" w:name="_Toc222114884"/>
      <w:bookmarkStart w:id="141" w:name="_Toc239145359"/>
      <w:bookmarkStart w:id="142" w:name="_Toc241404207"/>
      <w:bookmarkStart w:id="143" w:name="_Toc221423624"/>
      <w:bookmarkStart w:id="144" w:name="_Toc221356956"/>
      <w:bookmarkStart w:id="145" w:name="_Toc262105509"/>
      <w:bookmarkStart w:id="146" w:name="_Toc245191319"/>
      <w:bookmarkStart w:id="147" w:name="_Toc221356892"/>
      <w:bookmarkStart w:id="148" w:name="_Toc249758870"/>
      <w:bookmarkStart w:id="149" w:name="_Toc262049424"/>
      <w:bookmarkStart w:id="150" w:name="_Toc246261270"/>
      <w:bookmarkStart w:id="151" w:name="_Toc249758718"/>
      <w:bookmarkStart w:id="152" w:name="_Toc223716003"/>
      <w:bookmarkStart w:id="153" w:name="_Toc249758719"/>
      <w:bookmarkStart w:id="154" w:name="_Toc221374631"/>
      <w:bookmarkStart w:id="155" w:name="_Toc245722286"/>
      <w:r>
        <w:rPr>
          <w:rFonts w:hint="eastAsia" w:ascii="宋体" w:hAnsi="宋体" w:eastAsia="宋体" w:cs="宋体"/>
          <w:color w:val="auto"/>
          <w:sz w:val="22"/>
          <w:szCs w:val="22"/>
          <w:highlight w:val="none"/>
        </w:rPr>
        <w:br w:type="page"/>
      </w:r>
      <w:r>
        <w:rPr>
          <w:rFonts w:hint="eastAsia" w:ascii="宋体" w:hAnsi="宋体" w:eastAsia="宋体" w:cs="宋体"/>
          <w:color w:val="auto"/>
          <w:sz w:val="36"/>
          <w:szCs w:val="36"/>
          <w:highlight w:val="none"/>
        </w:rPr>
        <w:t xml:space="preserve">    </w:t>
      </w:r>
      <w:bookmarkStart w:id="156" w:name="_Toc12944"/>
      <w:r>
        <w:rPr>
          <w:rFonts w:hint="eastAsia" w:ascii="宋体" w:hAnsi="宋体" w:eastAsia="宋体" w:cs="宋体"/>
          <w:color w:val="auto"/>
          <w:sz w:val="36"/>
          <w:szCs w:val="36"/>
          <w:highlight w:val="none"/>
        </w:rPr>
        <w:t>评标原则及方法</w:t>
      </w:r>
      <w:bookmarkEnd w:id="156"/>
    </w:p>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p>
      <w:pPr>
        <w:spacing w:line="460" w:lineRule="exact"/>
        <w:rPr>
          <w:rFonts w:ascii="宋体" w:hAnsi="宋体" w:cs="宋体"/>
          <w:b/>
          <w:bCs/>
          <w:color w:val="auto"/>
          <w:sz w:val="22"/>
          <w:szCs w:val="22"/>
          <w:highlight w:val="none"/>
        </w:rPr>
      </w:pPr>
    </w:p>
    <w:p>
      <w:pPr>
        <w:tabs>
          <w:tab w:val="left" w:pos="2880"/>
        </w:tabs>
        <w:spacing w:line="440" w:lineRule="exact"/>
        <w:ind w:left="439" w:leftChars="209"/>
        <w:rPr>
          <w:rFonts w:ascii="宋体" w:hAnsi="宋体" w:cs="宋体"/>
          <w:b/>
          <w:color w:val="auto"/>
          <w:sz w:val="22"/>
          <w:szCs w:val="22"/>
          <w:highlight w:val="none"/>
        </w:rPr>
      </w:pPr>
      <w:r>
        <w:rPr>
          <w:rFonts w:hint="eastAsia" w:ascii="宋体" w:hAnsi="宋体" w:cs="宋体"/>
          <w:b/>
          <w:color w:val="auto"/>
          <w:sz w:val="22"/>
          <w:szCs w:val="22"/>
          <w:highlight w:val="none"/>
        </w:rPr>
        <w:t>根据《温州市市属国有企业采购管理办法（试行）》等相关法规特制定以下评标办法。</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一. 总  则</w:t>
      </w:r>
    </w:p>
    <w:p>
      <w:pPr>
        <w:adjustRightInd w:val="0"/>
        <w:snapToGrid w:val="0"/>
        <w:spacing w:line="44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评标工作遵循公平、公正、科学、择优原则和诚实、信誉、效率的服务原则。本着科学、严谨的态度，认真对投标文件进行综合评定，提出优选方案，编写评标报告。对落标单位，评委会不作任何落标解释。投标人不得以任何方式干扰招投标工作的进行，一经发现其投标文件将被拒绝。</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二、评标组织</w:t>
      </w:r>
    </w:p>
    <w:p>
      <w:pPr>
        <w:adjustRightInd w:val="0"/>
        <w:snapToGrid w:val="0"/>
        <w:spacing w:line="440" w:lineRule="exact"/>
        <w:ind w:firstLine="480"/>
        <w:rPr>
          <w:rFonts w:ascii="宋体" w:hAnsi="宋体" w:cs="宋体"/>
          <w:color w:val="auto"/>
          <w:sz w:val="22"/>
          <w:szCs w:val="22"/>
          <w:highlight w:val="none"/>
        </w:rPr>
      </w:pPr>
      <w:r>
        <w:rPr>
          <w:rFonts w:hint="eastAsia" w:ascii="宋体" w:hAnsi="宋体" w:cs="宋体"/>
          <w:color w:val="auto"/>
          <w:sz w:val="22"/>
          <w:szCs w:val="22"/>
          <w:highlight w:val="none"/>
        </w:rPr>
        <w:t>评标工作由采购人依法组建的评标委员会负责，评标全过程由有关部门指导监督。</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三、评标办法</w:t>
      </w:r>
    </w:p>
    <w:p>
      <w:pPr>
        <w:adjustRightInd w:val="0"/>
        <w:snapToGrid w:val="0"/>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本次采购采用百分制综合评分法，即投标人最大限度地满足采购文件实质性要求的基础上，按照采购文件的各项因素进行综合评审后，以评标总得分最高的投标人和次高的投标人作为第一和第二排序的中标候选人的评标方法。</w:t>
      </w:r>
      <w:r>
        <w:rPr>
          <w:rFonts w:hint="eastAsia" w:ascii="宋体" w:hAnsi="宋体" w:cs="宋体"/>
          <w:b/>
          <w:color w:val="auto"/>
          <w:sz w:val="22"/>
          <w:szCs w:val="22"/>
          <w:highlight w:val="none"/>
        </w:rPr>
        <w:t>根据采购要求，总分设定为100分；其中</w:t>
      </w:r>
      <w:r>
        <w:rPr>
          <w:rFonts w:hint="eastAsia" w:ascii="宋体" w:hAnsi="宋体" w:cs="宋体"/>
          <w:b/>
          <w:color w:val="auto"/>
          <w:sz w:val="22"/>
          <w:highlight w:val="none"/>
        </w:rPr>
        <w:t>商务技术分</w:t>
      </w:r>
      <w:r>
        <w:rPr>
          <w:rFonts w:hint="eastAsia" w:ascii="宋体" w:hAnsi="宋体" w:cs="宋体"/>
          <w:b/>
          <w:color w:val="auto"/>
          <w:sz w:val="22"/>
          <w:szCs w:val="22"/>
          <w:highlight w:val="none"/>
        </w:rPr>
        <w:t>60分、报价分40分。</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四、评分细则</w:t>
      </w:r>
    </w:p>
    <w:p>
      <w:pPr>
        <w:adjustRightInd w:val="0"/>
        <w:snapToGrid w:val="0"/>
        <w:spacing w:line="44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 xml:space="preserve">1、商务技术分的评定（60分） </w:t>
      </w:r>
    </w:p>
    <w:p>
      <w:pPr>
        <w:adjustRightInd w:val="0"/>
        <w:snapToGrid w:val="0"/>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商务技术评分由评委成员按下列评分细则中的评分项目进行统一评判打分，并记名。评标委员会对各投标人评分的算术平均值为各投标人的商务技术分最终得分（小数点后按四舍五入保留2位）。</w:t>
      </w:r>
    </w:p>
    <w:tbl>
      <w:tblPr>
        <w:tblStyle w:val="35"/>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8"/>
        <w:gridCol w:w="2015"/>
        <w:gridCol w:w="6556"/>
        <w:gridCol w:w="7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7" w:type="pct"/>
            <w:vAlign w:val="center"/>
          </w:tcPr>
          <w:p>
            <w:pPr>
              <w:pStyle w:val="20"/>
              <w:snapToGrid w:val="0"/>
              <w:jc w:val="center"/>
              <w:rPr>
                <w:rFonts w:hAnsi="宋体" w:cs="宋体"/>
                <w:b/>
                <w:bCs/>
                <w:color w:val="auto"/>
                <w:sz w:val="22"/>
                <w:szCs w:val="22"/>
                <w:highlight w:val="none"/>
              </w:rPr>
            </w:pPr>
            <w:r>
              <w:rPr>
                <w:rFonts w:hint="eastAsia" w:hAnsi="宋体" w:cs="宋体"/>
                <w:b/>
                <w:bCs/>
                <w:color w:val="auto"/>
                <w:sz w:val="22"/>
                <w:szCs w:val="22"/>
                <w:highlight w:val="none"/>
              </w:rPr>
              <w:t>序号</w:t>
            </w:r>
          </w:p>
        </w:tc>
        <w:tc>
          <w:tcPr>
            <w:tcW w:w="1022" w:type="pct"/>
            <w:vAlign w:val="center"/>
          </w:tcPr>
          <w:p>
            <w:pPr>
              <w:pStyle w:val="20"/>
              <w:snapToGrid w:val="0"/>
              <w:jc w:val="center"/>
              <w:rPr>
                <w:rFonts w:hAnsi="宋体" w:cs="宋体"/>
                <w:b/>
                <w:bCs/>
                <w:color w:val="auto"/>
                <w:sz w:val="22"/>
                <w:szCs w:val="22"/>
                <w:highlight w:val="none"/>
              </w:rPr>
            </w:pPr>
            <w:r>
              <w:rPr>
                <w:rFonts w:hint="eastAsia" w:hAnsi="宋体" w:cs="宋体"/>
                <w:b/>
                <w:bCs/>
                <w:color w:val="auto"/>
                <w:sz w:val="22"/>
                <w:szCs w:val="22"/>
                <w:highlight w:val="none"/>
              </w:rPr>
              <w:t>评分要素</w:t>
            </w:r>
          </w:p>
        </w:tc>
        <w:tc>
          <w:tcPr>
            <w:tcW w:w="3326" w:type="pct"/>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评分标准</w:t>
            </w:r>
          </w:p>
        </w:tc>
        <w:tc>
          <w:tcPr>
            <w:tcW w:w="393" w:type="pct"/>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7" w:type="pct"/>
            <w:vAlign w:val="center"/>
          </w:tcPr>
          <w:p>
            <w:pPr>
              <w:pStyle w:val="20"/>
              <w:snapToGrid w:val="0"/>
              <w:jc w:val="center"/>
              <w:rPr>
                <w:rFonts w:hAnsi="宋体" w:cs="宋体"/>
                <w:b/>
                <w:bCs/>
                <w:color w:val="auto"/>
                <w:sz w:val="22"/>
                <w:szCs w:val="22"/>
                <w:highlight w:val="none"/>
              </w:rPr>
            </w:pPr>
            <w:r>
              <w:rPr>
                <w:rFonts w:hint="eastAsia" w:hAnsi="宋体" w:cs="宋体"/>
                <w:b/>
                <w:bCs/>
                <w:color w:val="auto"/>
                <w:sz w:val="22"/>
                <w:szCs w:val="22"/>
                <w:highlight w:val="none"/>
              </w:rPr>
              <w:t>1</w:t>
            </w:r>
          </w:p>
        </w:tc>
        <w:tc>
          <w:tcPr>
            <w:tcW w:w="1022" w:type="pct"/>
            <w:vAlign w:val="center"/>
          </w:tcPr>
          <w:p>
            <w:pPr>
              <w:widowControl/>
              <w:spacing w:line="30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投标人实力</w:t>
            </w:r>
          </w:p>
        </w:tc>
        <w:tc>
          <w:tcPr>
            <w:tcW w:w="3326" w:type="pct"/>
            <w:vAlign w:val="center"/>
          </w:tcPr>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投标人同时具有ISO质</w:t>
            </w:r>
            <w:r>
              <w:rPr>
                <w:rFonts w:hint="eastAsia" w:ascii="宋体" w:hAnsi="宋体" w:eastAsia="宋体" w:cs="宋体"/>
                <w:color w:val="auto"/>
                <w:kern w:val="0"/>
                <w:sz w:val="22"/>
                <w:szCs w:val="22"/>
                <w:highlight w:val="none"/>
              </w:rPr>
              <w:t>量管理体系、ISO环境管理体系、ISO</w:t>
            </w:r>
            <w:r>
              <w:rPr>
                <w:rFonts w:hint="eastAsia" w:ascii="宋体" w:hAnsi="宋体" w:eastAsia="宋体" w:cs="宋体"/>
                <w:color w:val="auto"/>
                <w:kern w:val="0"/>
                <w:sz w:val="22"/>
                <w:szCs w:val="22"/>
                <w:highlight w:val="none"/>
              </w:rPr>
              <w:fldChar w:fldCharType="begin"/>
            </w:r>
            <w:r>
              <w:rPr>
                <w:rFonts w:hint="eastAsia" w:ascii="宋体" w:hAnsi="宋体" w:eastAsia="宋体" w:cs="宋体"/>
                <w:color w:val="auto"/>
                <w:kern w:val="0"/>
                <w:sz w:val="22"/>
                <w:szCs w:val="22"/>
                <w:highlight w:val="none"/>
              </w:rPr>
              <w:instrText xml:space="preserve"> HYPERLINK "https://baike.baidu.com/item/%E8%81%8C%E4%B8%9A%E5%81%A5%E5%BA%B7%E5%AE%89%E5%85%A8/12758938?fromModule=lemma_inlink" \t "https://baike.baidu.com/item/ISO45001/_blank" </w:instrText>
            </w:r>
            <w:r>
              <w:rPr>
                <w:rFonts w:hint="eastAsia" w:ascii="宋体" w:hAnsi="宋体" w:eastAsia="宋体" w:cs="宋体"/>
                <w:color w:val="auto"/>
                <w:kern w:val="0"/>
                <w:sz w:val="22"/>
                <w:szCs w:val="22"/>
                <w:highlight w:val="none"/>
              </w:rPr>
              <w:fldChar w:fldCharType="separate"/>
            </w:r>
            <w:r>
              <w:rPr>
                <w:rFonts w:hint="default" w:ascii="宋体" w:hAnsi="宋体" w:eastAsia="宋体" w:cs="宋体"/>
                <w:color w:val="auto"/>
                <w:kern w:val="0"/>
                <w:sz w:val="22"/>
                <w:szCs w:val="22"/>
                <w:highlight w:val="none"/>
              </w:rPr>
              <w:t>职业健康安全</w:t>
            </w:r>
            <w:r>
              <w:rPr>
                <w:rFonts w:hint="default" w:ascii="宋体" w:hAnsi="宋体" w:eastAsia="宋体" w:cs="宋体"/>
                <w:color w:val="auto"/>
                <w:kern w:val="0"/>
                <w:sz w:val="22"/>
                <w:szCs w:val="22"/>
                <w:highlight w:val="none"/>
              </w:rPr>
              <w:fldChar w:fldCharType="end"/>
            </w:r>
            <w:r>
              <w:rPr>
                <w:rFonts w:hint="default" w:ascii="宋体" w:hAnsi="宋体" w:eastAsia="宋体" w:cs="宋体"/>
                <w:color w:val="auto"/>
                <w:kern w:val="0"/>
                <w:sz w:val="22"/>
                <w:szCs w:val="22"/>
                <w:highlight w:val="none"/>
              </w:rPr>
              <w:t>管理体系</w:t>
            </w:r>
            <w:r>
              <w:rPr>
                <w:rFonts w:hint="eastAsia" w:ascii="宋体" w:hAnsi="宋体" w:eastAsia="宋体" w:cs="宋体"/>
                <w:color w:val="auto"/>
                <w:kern w:val="0"/>
                <w:sz w:val="22"/>
                <w:szCs w:val="22"/>
                <w:highlight w:val="none"/>
                <w:lang w:eastAsia="zh-CN"/>
              </w:rPr>
              <w:t>、</w:t>
            </w:r>
            <w:r>
              <w:rPr>
                <w:rFonts w:hint="eastAsia" w:ascii="宋体" w:hAnsi="宋体" w:eastAsia="宋体" w:cs="宋体"/>
                <w:color w:val="auto"/>
                <w:kern w:val="0"/>
                <w:sz w:val="22"/>
                <w:szCs w:val="22"/>
                <w:highlight w:val="none"/>
              </w:rPr>
              <w:t>ISO信息技术服务管理体系、ISO信息安全管理体系，缺少1个扣1分</w:t>
            </w:r>
            <w:r>
              <w:rPr>
                <w:rFonts w:hint="eastAsia" w:ascii="宋体" w:hAnsi="宋体" w:cs="宋体"/>
                <w:color w:val="auto"/>
                <w:kern w:val="0"/>
                <w:sz w:val="22"/>
                <w:szCs w:val="22"/>
                <w:highlight w:val="none"/>
              </w:rPr>
              <w:t>，全部满足得</w:t>
            </w:r>
            <w:r>
              <w:rPr>
                <w:rFonts w:hint="eastAsia" w:ascii="宋体" w:hAnsi="宋体" w:cs="宋体"/>
                <w:color w:val="auto"/>
                <w:kern w:val="0"/>
                <w:sz w:val="22"/>
                <w:szCs w:val="22"/>
                <w:highlight w:val="none"/>
                <w:lang w:val="en-US" w:eastAsia="zh-CN"/>
              </w:rPr>
              <w:t>5</w:t>
            </w:r>
            <w:r>
              <w:rPr>
                <w:rFonts w:hint="eastAsia" w:ascii="宋体" w:hAnsi="宋体" w:cs="宋体"/>
                <w:color w:val="auto"/>
                <w:kern w:val="0"/>
                <w:sz w:val="22"/>
                <w:szCs w:val="22"/>
                <w:highlight w:val="none"/>
              </w:rPr>
              <w:t>分。（说明：投标文件中提供相应认证证书扫描件及中国国家认证认可监督管理委员会网站查询截图证明材料，两者缺一不可，否则不得分。证书须在有效期内，否则不得分。）</w:t>
            </w:r>
          </w:p>
        </w:tc>
        <w:tc>
          <w:tcPr>
            <w:tcW w:w="393" w:type="pct"/>
            <w:vAlign w:val="center"/>
          </w:tcPr>
          <w:p>
            <w:pPr>
              <w:widowControl/>
              <w:spacing w:line="3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0" w:hRule="atLeast"/>
          <w:jc w:val="center"/>
        </w:trPr>
        <w:tc>
          <w:tcPr>
            <w:tcW w:w="257" w:type="pct"/>
            <w:vAlign w:val="center"/>
          </w:tcPr>
          <w:p>
            <w:pPr>
              <w:pStyle w:val="20"/>
              <w:snapToGrid w:val="0"/>
              <w:jc w:val="center"/>
              <w:rPr>
                <w:rFonts w:hAnsi="宋体" w:cs="宋体"/>
                <w:b/>
                <w:bCs/>
                <w:color w:val="auto"/>
                <w:sz w:val="22"/>
                <w:szCs w:val="22"/>
                <w:highlight w:val="none"/>
              </w:rPr>
            </w:pPr>
            <w:r>
              <w:rPr>
                <w:rFonts w:hint="eastAsia" w:hAnsi="宋体" w:cs="宋体"/>
                <w:b/>
                <w:bCs/>
                <w:color w:val="auto"/>
                <w:sz w:val="22"/>
                <w:szCs w:val="22"/>
                <w:highlight w:val="none"/>
              </w:rPr>
              <w:t>2</w:t>
            </w:r>
          </w:p>
        </w:tc>
        <w:tc>
          <w:tcPr>
            <w:tcW w:w="1022" w:type="pct"/>
            <w:vAlign w:val="center"/>
          </w:tcPr>
          <w:p>
            <w:pPr>
              <w:widowControl/>
              <w:spacing w:line="36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技术方案</w:t>
            </w:r>
          </w:p>
        </w:tc>
        <w:tc>
          <w:tcPr>
            <w:tcW w:w="3326" w:type="pct"/>
            <w:vAlign w:val="center"/>
          </w:tcPr>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1.对项目建设需求的总体理解和分析的科学性、合理性由各评委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独立打分（0-6分）；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A档：6-4.1分    B档：4-2.1分    C档：2-0分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2.设计思路清晰、完整、先进，包括总体架构设计、技术路线，采用技术平台的先进性、易用性、可扩展性等由各评委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独立打分（0-6分）；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A档：6-4.1分    B档：4-2.1分    C档：2-0分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3.技术方案的可行性、先进性由各评委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独立打分（0-6分）。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A档：6-4.1分    B档：4-2.1分    C档：2-0分</w:t>
            </w:r>
          </w:p>
        </w:tc>
        <w:tc>
          <w:tcPr>
            <w:tcW w:w="393" w:type="pct"/>
            <w:vAlign w:val="center"/>
          </w:tcPr>
          <w:p>
            <w:pPr>
              <w:widowControl/>
              <w:spacing w:line="300" w:lineRule="exact"/>
              <w:jc w:val="center"/>
              <w:textAlignment w:val="center"/>
              <w:rPr>
                <w:rFonts w:ascii="宋体" w:hAnsi="宋体" w:cs="宋体"/>
                <w:color w:val="auto"/>
                <w:sz w:val="22"/>
                <w:szCs w:val="22"/>
                <w:highlight w:val="none"/>
              </w:rPr>
            </w:pPr>
            <w:r>
              <w:rPr>
                <w:rFonts w:hint="eastAsia" w:ascii="宋体" w:hAnsi="宋体" w:cs="宋体"/>
                <w:color w:val="auto"/>
                <w:sz w:val="22"/>
                <w:szCs w:val="22"/>
                <w:highlight w:val="none"/>
              </w:rPr>
              <w:t>18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3" w:hRule="atLeast"/>
          <w:jc w:val="center"/>
        </w:trPr>
        <w:tc>
          <w:tcPr>
            <w:tcW w:w="257" w:type="pct"/>
            <w:vAlign w:val="center"/>
          </w:tcPr>
          <w:p>
            <w:pPr>
              <w:pStyle w:val="20"/>
              <w:snapToGrid w:val="0"/>
              <w:jc w:val="center"/>
              <w:rPr>
                <w:rFonts w:hAnsi="宋体" w:cs="宋体"/>
                <w:color w:val="auto"/>
                <w:sz w:val="22"/>
                <w:szCs w:val="22"/>
                <w:highlight w:val="none"/>
              </w:rPr>
            </w:pPr>
            <w:r>
              <w:rPr>
                <w:rFonts w:hint="eastAsia" w:hAnsi="宋体" w:cs="宋体"/>
                <w:color w:val="auto"/>
                <w:sz w:val="22"/>
                <w:szCs w:val="22"/>
                <w:highlight w:val="none"/>
              </w:rPr>
              <w:t>3</w:t>
            </w:r>
          </w:p>
        </w:tc>
        <w:tc>
          <w:tcPr>
            <w:tcW w:w="1022" w:type="pct"/>
            <w:vAlign w:val="center"/>
          </w:tcPr>
          <w:p>
            <w:pPr>
              <w:widowControl/>
              <w:spacing w:line="360" w:lineRule="exact"/>
              <w:jc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产品技术响应程度</w:t>
            </w:r>
          </w:p>
        </w:tc>
        <w:tc>
          <w:tcPr>
            <w:tcW w:w="3326" w:type="pct"/>
            <w:vAlign w:val="center"/>
          </w:tcPr>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根据供应商提供的所投软件的技术要求及功能与采购文件的响应程度，由各评委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A档：8-6.1分    B档：6-3.1分    C档：3-0分</w:t>
            </w:r>
          </w:p>
        </w:tc>
        <w:tc>
          <w:tcPr>
            <w:tcW w:w="393" w:type="pct"/>
            <w:vAlign w:val="center"/>
          </w:tcPr>
          <w:p>
            <w:pPr>
              <w:widowControl/>
              <w:jc w:val="center"/>
              <w:textAlignment w:val="center"/>
              <w:rPr>
                <w:rFonts w:ascii="宋体" w:hAnsi="宋体" w:cs="宋体"/>
                <w:color w:val="auto"/>
                <w:szCs w:val="21"/>
                <w:highlight w:val="none"/>
              </w:rPr>
            </w:pPr>
            <w:r>
              <w:rPr>
                <w:rFonts w:hint="eastAsia" w:ascii="宋体" w:hAnsi="宋体" w:cs="宋体"/>
                <w:color w:val="auto"/>
                <w:kern w:val="0"/>
                <w:szCs w:val="21"/>
                <w:highlight w:val="none"/>
                <w:lang w:bidi="ar"/>
              </w:rPr>
              <w:t>8</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46" w:hRule="atLeast"/>
          <w:jc w:val="center"/>
        </w:trPr>
        <w:tc>
          <w:tcPr>
            <w:tcW w:w="257" w:type="pct"/>
            <w:vAlign w:val="center"/>
          </w:tcPr>
          <w:p>
            <w:pPr>
              <w:pStyle w:val="20"/>
              <w:snapToGrid w:val="0"/>
              <w:jc w:val="center"/>
              <w:rPr>
                <w:rFonts w:hAnsi="宋体" w:cs="宋体"/>
                <w:color w:val="auto"/>
                <w:sz w:val="22"/>
                <w:szCs w:val="22"/>
                <w:highlight w:val="none"/>
              </w:rPr>
            </w:pPr>
            <w:r>
              <w:rPr>
                <w:rFonts w:hint="eastAsia" w:hAnsi="宋体" w:cs="宋体"/>
                <w:color w:val="auto"/>
                <w:sz w:val="22"/>
                <w:szCs w:val="22"/>
                <w:highlight w:val="none"/>
              </w:rPr>
              <w:t>4</w:t>
            </w:r>
          </w:p>
        </w:tc>
        <w:tc>
          <w:tcPr>
            <w:tcW w:w="1022" w:type="pct"/>
            <w:vAlign w:val="center"/>
          </w:tcPr>
          <w:p>
            <w:pPr>
              <w:widowControl/>
              <w:jc w:val="center"/>
              <w:textAlignment w:val="center"/>
              <w:rPr>
                <w:rFonts w:ascii="宋体" w:hAnsi="宋体" w:cs="宋体"/>
                <w:color w:val="auto"/>
                <w:kern w:val="0"/>
                <w:szCs w:val="21"/>
                <w:highlight w:val="none"/>
                <w:lang w:bidi="ar"/>
              </w:rPr>
            </w:pPr>
            <w:r>
              <w:rPr>
                <w:rFonts w:hint="eastAsia" w:ascii="宋体" w:hAnsi="宋体" w:cs="宋体"/>
                <w:color w:val="auto"/>
                <w:sz w:val="22"/>
                <w:szCs w:val="22"/>
                <w:highlight w:val="none"/>
              </w:rPr>
              <w:t>项目实施方案</w:t>
            </w:r>
          </w:p>
        </w:tc>
        <w:tc>
          <w:tcPr>
            <w:tcW w:w="3326" w:type="pct"/>
            <w:vAlign w:val="center"/>
          </w:tcPr>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根据投标供应商提供的项目实施方案中关于项目组织的运作方式、项目管理目标、项目实施的组织结构、项目的管理措施、协调方法、实施流程、实施进度详细</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服务时间、</w:t>
            </w:r>
            <w:r>
              <w:rPr>
                <w:rFonts w:hint="eastAsia" w:ascii="宋体" w:hAnsi="宋体" w:cs="宋体"/>
                <w:color w:val="auto"/>
                <w:kern w:val="0"/>
                <w:sz w:val="22"/>
                <w:szCs w:val="22"/>
                <w:highlight w:val="none"/>
              </w:rPr>
              <w:t>服务工作流程</w:t>
            </w:r>
            <w:r>
              <w:rPr>
                <w:rFonts w:hint="eastAsia" w:ascii="宋体" w:hAnsi="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突发情况的应急措施</w:t>
            </w:r>
            <w:r>
              <w:rPr>
                <w:rFonts w:hint="eastAsia" w:ascii="宋体" w:hAnsi="宋体" w:cs="宋体"/>
                <w:color w:val="auto"/>
                <w:kern w:val="0"/>
                <w:sz w:val="22"/>
                <w:szCs w:val="22"/>
                <w:highlight w:val="none"/>
              </w:rPr>
              <w:t>的描述，由各评委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w:t>
            </w:r>
          </w:p>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A档：</w:t>
            </w:r>
            <w:r>
              <w:rPr>
                <w:rFonts w:hint="eastAsia" w:ascii="宋体" w:hAnsi="宋体" w:cs="宋体"/>
                <w:color w:val="auto"/>
                <w:kern w:val="0"/>
                <w:sz w:val="22"/>
                <w:szCs w:val="22"/>
                <w:highlight w:val="none"/>
                <w:lang w:val="en-US" w:eastAsia="zh-CN"/>
              </w:rPr>
              <w:t>10</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7</w:t>
            </w:r>
            <w:r>
              <w:rPr>
                <w:rFonts w:hint="eastAsia" w:ascii="宋体" w:hAnsi="宋体" w:cs="宋体"/>
                <w:color w:val="auto"/>
                <w:kern w:val="0"/>
                <w:sz w:val="22"/>
                <w:szCs w:val="22"/>
                <w:highlight w:val="none"/>
              </w:rPr>
              <w:t>.1分    B档：</w:t>
            </w:r>
            <w:r>
              <w:rPr>
                <w:rFonts w:hint="eastAsia" w:ascii="宋体" w:hAnsi="宋体" w:cs="宋体"/>
                <w:color w:val="auto"/>
                <w:kern w:val="0"/>
                <w:sz w:val="22"/>
                <w:szCs w:val="22"/>
                <w:highlight w:val="none"/>
                <w:lang w:val="en-US" w:eastAsia="zh-CN"/>
              </w:rPr>
              <w:t>7</w:t>
            </w:r>
            <w:r>
              <w:rPr>
                <w:rFonts w:hint="eastAsia" w:ascii="宋体" w:hAnsi="宋体" w:cs="宋体"/>
                <w:color w:val="auto"/>
                <w:kern w:val="0"/>
                <w:sz w:val="22"/>
                <w:szCs w:val="22"/>
                <w:highlight w:val="none"/>
              </w:rPr>
              <w:t>-</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.1分    C档：</w:t>
            </w:r>
            <w:r>
              <w:rPr>
                <w:rFonts w:hint="eastAsia" w:ascii="宋体" w:hAnsi="宋体" w:cs="宋体"/>
                <w:color w:val="auto"/>
                <w:kern w:val="0"/>
                <w:sz w:val="22"/>
                <w:szCs w:val="22"/>
                <w:highlight w:val="none"/>
                <w:lang w:val="en-US" w:eastAsia="zh-CN"/>
              </w:rPr>
              <w:t>4</w:t>
            </w:r>
            <w:r>
              <w:rPr>
                <w:rFonts w:hint="eastAsia" w:ascii="宋体" w:hAnsi="宋体" w:cs="宋体"/>
                <w:color w:val="auto"/>
                <w:kern w:val="0"/>
                <w:sz w:val="22"/>
                <w:szCs w:val="22"/>
                <w:highlight w:val="none"/>
              </w:rPr>
              <w:t>-0分</w:t>
            </w:r>
          </w:p>
        </w:tc>
        <w:tc>
          <w:tcPr>
            <w:tcW w:w="393" w:type="pct"/>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eastAsia" w:ascii="宋体" w:hAnsi="宋体" w:cs="宋体"/>
                <w:color w:val="auto"/>
                <w:sz w:val="22"/>
                <w:szCs w:val="22"/>
                <w:highlight w:val="none"/>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55" w:hRule="atLeast"/>
          <w:jc w:val="center"/>
        </w:trPr>
        <w:tc>
          <w:tcPr>
            <w:tcW w:w="257" w:type="pct"/>
            <w:vAlign w:val="center"/>
          </w:tcPr>
          <w:p>
            <w:pPr>
              <w:pStyle w:val="20"/>
              <w:snapToGrid w:val="0"/>
              <w:jc w:val="center"/>
              <w:rPr>
                <w:rFonts w:hint="eastAsia" w:hAnsi="宋体" w:eastAsia="宋体" w:cs="宋体"/>
                <w:color w:val="auto"/>
                <w:sz w:val="22"/>
                <w:szCs w:val="22"/>
                <w:highlight w:val="none"/>
                <w:lang w:eastAsia="zh-CN"/>
              </w:rPr>
            </w:pPr>
            <w:r>
              <w:rPr>
                <w:rFonts w:hint="eastAsia" w:hAnsi="宋体" w:cs="宋体"/>
                <w:color w:val="auto"/>
                <w:sz w:val="22"/>
                <w:szCs w:val="22"/>
                <w:highlight w:val="none"/>
                <w:lang w:val="en-US" w:eastAsia="zh-CN"/>
              </w:rPr>
              <w:t>5</w:t>
            </w:r>
          </w:p>
        </w:tc>
        <w:tc>
          <w:tcPr>
            <w:tcW w:w="1022" w:type="pct"/>
            <w:vAlign w:val="center"/>
          </w:tcPr>
          <w:p>
            <w:pPr>
              <w:widowControl/>
              <w:jc w:val="center"/>
              <w:textAlignment w:val="center"/>
              <w:rPr>
                <w:rFonts w:hint="default" w:ascii="宋体" w:hAnsi="宋体" w:eastAsia="宋体" w:cs="宋体"/>
                <w:color w:val="auto"/>
                <w:kern w:val="0"/>
                <w:szCs w:val="21"/>
                <w:highlight w:val="none"/>
                <w:lang w:val="en-US" w:eastAsia="zh-CN" w:bidi="ar"/>
              </w:rPr>
            </w:pPr>
            <w:r>
              <w:rPr>
                <w:rFonts w:hint="default" w:ascii="宋体" w:hAnsi="宋体" w:eastAsia="宋体" w:cs="宋体"/>
                <w:color w:val="auto"/>
                <w:kern w:val="0"/>
                <w:szCs w:val="21"/>
                <w:highlight w:val="none"/>
                <w:lang w:val="en-US" w:eastAsia="zh-CN" w:bidi="ar"/>
              </w:rPr>
              <w:t>人员培训需求和计划</w:t>
            </w:r>
          </w:p>
        </w:tc>
        <w:tc>
          <w:tcPr>
            <w:tcW w:w="3326" w:type="pct"/>
            <w:vAlign w:val="center"/>
          </w:tcPr>
          <w:p>
            <w:pPr>
              <w:keepNext w:val="0"/>
              <w:keepLines w:val="0"/>
              <w:pageBreakBefore w:val="0"/>
              <w:widowControl/>
              <w:kinsoku/>
              <w:wordWrap/>
              <w:overflowPunct/>
              <w:topLinePunct w:val="0"/>
              <w:autoSpaceDE/>
              <w:autoSpaceDN/>
              <w:bidi w:val="0"/>
              <w:adjustRightInd/>
              <w:snapToGrid/>
              <w:spacing w:line="360" w:lineRule="exact"/>
              <w:jc w:val="left"/>
              <w:textAlignment w:val="auto"/>
              <w:rPr>
                <w:rFonts w:hint="eastAsia" w:ascii="宋体" w:hAnsi="宋体" w:eastAsia="宋体" w:cs="宋体"/>
                <w:color w:val="auto"/>
                <w:kern w:val="0"/>
                <w:sz w:val="22"/>
                <w:szCs w:val="22"/>
                <w:highlight w:val="none"/>
              </w:rPr>
            </w:pPr>
            <w:r>
              <w:rPr>
                <w:rFonts w:hint="eastAsia" w:ascii="宋体" w:hAnsi="宋体" w:eastAsia="宋体" w:cs="宋体"/>
                <w:color w:val="auto"/>
                <w:kern w:val="0"/>
                <w:sz w:val="22"/>
                <w:szCs w:val="22"/>
                <w:highlight w:val="none"/>
              </w:rPr>
              <w:t>根据</w:t>
            </w:r>
            <w:r>
              <w:rPr>
                <w:rFonts w:hint="eastAsia" w:ascii="宋体" w:hAnsi="宋体" w:eastAsia="宋体" w:cs="宋体"/>
                <w:color w:val="auto"/>
                <w:kern w:val="0"/>
                <w:sz w:val="22"/>
                <w:szCs w:val="22"/>
                <w:highlight w:val="none"/>
                <w:lang w:eastAsia="zh-CN"/>
              </w:rPr>
              <w:t>供应商</w:t>
            </w:r>
            <w:r>
              <w:rPr>
                <w:rFonts w:hint="eastAsia" w:ascii="宋体" w:hAnsi="宋体" w:eastAsia="宋体" w:cs="宋体"/>
                <w:color w:val="auto"/>
                <w:kern w:val="0"/>
                <w:sz w:val="22"/>
                <w:szCs w:val="22"/>
                <w:highlight w:val="none"/>
              </w:rPr>
              <w:t>提供的技术培训的响应程度、培训方案和培训计划的合理性、完整性，</w:t>
            </w:r>
            <w:r>
              <w:rPr>
                <w:rFonts w:hint="eastAsia" w:ascii="宋体" w:hAnsi="宋体" w:cs="宋体"/>
                <w:color w:val="auto"/>
                <w:kern w:val="0"/>
                <w:sz w:val="22"/>
                <w:szCs w:val="22"/>
                <w:highlight w:val="none"/>
              </w:rPr>
              <w:t>由各评委</w:t>
            </w:r>
            <w:r>
              <w:rPr>
                <w:rFonts w:hint="eastAsia" w:ascii="宋体" w:hAnsi="宋体" w:cs="宋体"/>
                <w:color w:val="auto"/>
                <w:kern w:val="0"/>
                <w:sz w:val="22"/>
                <w:szCs w:val="22"/>
                <w:highlight w:val="none"/>
                <w:lang w:val="en-US" w:eastAsia="zh-CN"/>
              </w:rPr>
              <w:t>酌情</w:t>
            </w:r>
            <w:r>
              <w:rPr>
                <w:rFonts w:hint="eastAsia" w:ascii="宋体" w:hAnsi="宋体" w:cs="宋体"/>
                <w:color w:val="auto"/>
                <w:kern w:val="0"/>
                <w:sz w:val="22"/>
                <w:szCs w:val="22"/>
                <w:highlight w:val="none"/>
              </w:rPr>
              <w:t>独立打分</w:t>
            </w:r>
            <w:r>
              <w:rPr>
                <w:rFonts w:hint="eastAsia" w:ascii="宋体" w:hAnsi="宋体" w:eastAsia="宋体" w:cs="宋体"/>
                <w:color w:val="auto"/>
                <w:kern w:val="0"/>
                <w:sz w:val="22"/>
                <w:szCs w:val="22"/>
                <w:highlight w:val="none"/>
              </w:rPr>
              <w:t>。</w:t>
            </w:r>
          </w:p>
          <w:p>
            <w:pPr>
              <w:widowControl/>
              <w:spacing w:line="360" w:lineRule="exact"/>
              <w:jc w:val="left"/>
              <w:rPr>
                <w:rFonts w:ascii="宋体" w:hAnsi="宋体" w:cs="宋体"/>
                <w:color w:val="auto"/>
                <w:kern w:val="0"/>
                <w:sz w:val="22"/>
                <w:szCs w:val="22"/>
                <w:highlight w:val="none"/>
              </w:rPr>
            </w:pPr>
            <w:r>
              <w:rPr>
                <w:rFonts w:hint="eastAsia" w:ascii="宋体" w:hAnsi="宋体" w:eastAsia="宋体" w:cs="宋体"/>
                <w:color w:val="auto"/>
                <w:kern w:val="0"/>
                <w:sz w:val="22"/>
                <w:szCs w:val="22"/>
                <w:highlight w:val="none"/>
              </w:rPr>
              <w:t>A档：</w:t>
            </w:r>
            <w:r>
              <w:rPr>
                <w:rFonts w:hint="eastAsia" w:ascii="宋体" w:hAnsi="宋体" w:cs="宋体"/>
                <w:color w:val="auto"/>
                <w:kern w:val="0"/>
                <w:sz w:val="22"/>
                <w:szCs w:val="22"/>
                <w:highlight w:val="none"/>
                <w:lang w:val="en-US" w:eastAsia="zh-CN"/>
              </w:rPr>
              <w:t>6</w:t>
            </w:r>
            <w:r>
              <w:rPr>
                <w:rFonts w:hint="eastAsia" w:ascii="宋体" w:hAnsi="宋体" w:eastAsia="宋体" w:cs="宋体"/>
                <w:color w:val="auto"/>
                <w:kern w:val="0"/>
                <w:sz w:val="22"/>
                <w:szCs w:val="22"/>
                <w:highlight w:val="none"/>
              </w:rPr>
              <w:t>-</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.1分    B档：</w:t>
            </w:r>
            <w:r>
              <w:rPr>
                <w:rFonts w:hint="eastAsia" w:ascii="宋体" w:hAnsi="宋体" w:cs="宋体"/>
                <w:color w:val="auto"/>
                <w:kern w:val="0"/>
                <w:sz w:val="22"/>
                <w:szCs w:val="22"/>
                <w:highlight w:val="none"/>
                <w:lang w:val="en-US" w:eastAsia="zh-CN"/>
              </w:rPr>
              <w:t>4</w:t>
            </w:r>
            <w:r>
              <w:rPr>
                <w:rFonts w:hint="eastAsia" w:ascii="宋体" w:hAnsi="宋体" w:eastAsia="宋体" w:cs="宋体"/>
                <w:color w:val="auto"/>
                <w:kern w:val="0"/>
                <w:sz w:val="22"/>
                <w:szCs w:val="22"/>
                <w:highlight w:val="none"/>
              </w:rPr>
              <w:t>-</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.1分    C档：</w:t>
            </w:r>
            <w:r>
              <w:rPr>
                <w:rFonts w:hint="eastAsia" w:ascii="宋体" w:hAnsi="宋体" w:cs="宋体"/>
                <w:color w:val="auto"/>
                <w:kern w:val="0"/>
                <w:sz w:val="22"/>
                <w:szCs w:val="22"/>
                <w:highlight w:val="none"/>
                <w:lang w:val="en-US" w:eastAsia="zh-CN"/>
              </w:rPr>
              <w:t>2</w:t>
            </w:r>
            <w:r>
              <w:rPr>
                <w:rFonts w:hint="eastAsia" w:ascii="宋体" w:hAnsi="宋体" w:eastAsia="宋体" w:cs="宋体"/>
                <w:color w:val="auto"/>
                <w:kern w:val="0"/>
                <w:sz w:val="22"/>
                <w:szCs w:val="22"/>
                <w:highlight w:val="none"/>
              </w:rPr>
              <w:t>-0分</w:t>
            </w:r>
          </w:p>
        </w:tc>
        <w:tc>
          <w:tcPr>
            <w:tcW w:w="393" w:type="pct"/>
            <w:vAlign w:val="center"/>
          </w:tcPr>
          <w:p>
            <w:pPr>
              <w:widowControl/>
              <w:jc w:val="center"/>
              <w:textAlignment w:val="center"/>
              <w:rPr>
                <w:rFonts w:hint="eastAsia" w:ascii="宋体" w:hAnsi="宋体" w:eastAsia="宋体" w:cs="宋体"/>
                <w:color w:val="auto"/>
                <w:szCs w:val="21"/>
                <w:highlight w:val="none"/>
                <w:lang w:eastAsia="zh-CN"/>
              </w:rPr>
            </w:pPr>
            <w:r>
              <w:rPr>
                <w:rFonts w:hint="eastAsia" w:ascii="宋体" w:hAnsi="宋体" w:cs="宋体"/>
                <w:color w:val="auto"/>
                <w:kern w:val="0"/>
                <w:szCs w:val="21"/>
                <w:highlight w:val="none"/>
                <w:lang w:val="en-US" w:eastAsia="zh-CN" w:bidi="ar"/>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79" w:hRule="atLeast"/>
          <w:jc w:val="center"/>
        </w:trPr>
        <w:tc>
          <w:tcPr>
            <w:tcW w:w="257" w:type="pct"/>
            <w:vAlign w:val="center"/>
          </w:tcPr>
          <w:p>
            <w:pPr>
              <w:pStyle w:val="20"/>
              <w:snapToGrid w:val="0"/>
              <w:jc w:val="center"/>
              <w:rPr>
                <w:rFonts w:hint="eastAsia" w:hAnsi="宋体" w:eastAsia="宋体" w:cs="宋体"/>
                <w:color w:val="auto"/>
                <w:sz w:val="22"/>
                <w:szCs w:val="22"/>
                <w:highlight w:val="none"/>
                <w:lang w:eastAsia="zh-CN"/>
              </w:rPr>
            </w:pPr>
            <w:r>
              <w:rPr>
                <w:rFonts w:hint="eastAsia" w:hAnsi="宋体" w:cs="宋体"/>
                <w:color w:val="auto"/>
                <w:sz w:val="22"/>
                <w:szCs w:val="22"/>
                <w:highlight w:val="none"/>
                <w:lang w:val="en-US" w:eastAsia="zh-CN"/>
              </w:rPr>
              <w:t>6</w:t>
            </w:r>
          </w:p>
        </w:tc>
        <w:tc>
          <w:tcPr>
            <w:tcW w:w="1022" w:type="pct"/>
            <w:vAlign w:val="center"/>
          </w:tcPr>
          <w:p>
            <w:pPr>
              <w:widowControl/>
              <w:spacing w:line="300" w:lineRule="exact"/>
              <w:jc w:val="center"/>
              <w:textAlignment w:val="center"/>
              <w:rPr>
                <w:rFonts w:ascii="宋体" w:hAnsi="宋体" w:cs="宋体"/>
                <w:color w:val="auto"/>
                <w:kern w:val="0"/>
                <w:sz w:val="22"/>
                <w:szCs w:val="22"/>
                <w:highlight w:val="none"/>
              </w:rPr>
            </w:pPr>
            <w:r>
              <w:rPr>
                <w:rFonts w:hint="eastAsia" w:ascii="宋体" w:hAnsi="宋体" w:cs="宋体"/>
                <w:color w:val="auto"/>
                <w:kern w:val="0"/>
                <w:sz w:val="22"/>
                <w:szCs w:val="22"/>
                <w:highlight w:val="none"/>
              </w:rPr>
              <w:t>类似业绩</w:t>
            </w:r>
          </w:p>
        </w:tc>
        <w:tc>
          <w:tcPr>
            <w:tcW w:w="3326" w:type="pct"/>
            <w:vAlign w:val="center"/>
          </w:tcPr>
          <w:p>
            <w:pPr>
              <w:widowControl/>
              <w:spacing w:line="360" w:lineRule="exact"/>
              <w:jc w:val="left"/>
              <w:rPr>
                <w:rFonts w:ascii="宋体" w:hAnsi="宋体" w:cs="宋体"/>
                <w:color w:val="auto"/>
                <w:kern w:val="0"/>
                <w:sz w:val="22"/>
                <w:szCs w:val="22"/>
                <w:highlight w:val="none"/>
              </w:rPr>
            </w:pPr>
            <w:r>
              <w:rPr>
                <w:rFonts w:hint="eastAsia" w:ascii="宋体" w:hAnsi="宋体" w:cs="宋体"/>
                <w:color w:val="auto"/>
                <w:kern w:val="0"/>
                <w:sz w:val="22"/>
                <w:szCs w:val="22"/>
                <w:highlight w:val="none"/>
              </w:rPr>
              <w:t>投标人2020年</w:t>
            </w:r>
            <w:r>
              <w:rPr>
                <w:rFonts w:hint="eastAsia" w:ascii="宋体" w:hAnsi="宋体" w:cs="宋体"/>
                <w:color w:val="auto"/>
                <w:kern w:val="0"/>
                <w:sz w:val="22"/>
                <w:szCs w:val="22"/>
                <w:highlight w:val="none"/>
                <w:lang w:val="en-US" w:eastAsia="zh-CN"/>
              </w:rPr>
              <w:t>1月1日</w:t>
            </w:r>
            <w:r>
              <w:rPr>
                <w:rFonts w:hint="eastAsia" w:ascii="宋体" w:hAnsi="宋体" w:cs="宋体"/>
                <w:color w:val="auto"/>
                <w:kern w:val="0"/>
                <w:sz w:val="22"/>
                <w:szCs w:val="22"/>
                <w:highlight w:val="none"/>
              </w:rPr>
              <w:t>至今同类业绩，每个业绩得1分，最高得</w:t>
            </w:r>
            <w:r>
              <w:rPr>
                <w:rFonts w:hint="eastAsia" w:ascii="宋体" w:hAnsi="宋体" w:cs="宋体"/>
                <w:color w:val="auto"/>
                <w:kern w:val="0"/>
                <w:sz w:val="22"/>
                <w:szCs w:val="22"/>
                <w:highlight w:val="none"/>
                <w:lang w:val="en-US" w:eastAsia="zh-CN"/>
              </w:rPr>
              <w:t>3</w:t>
            </w:r>
            <w:r>
              <w:rPr>
                <w:rFonts w:hint="eastAsia" w:ascii="宋体" w:hAnsi="宋体" w:cs="宋体"/>
                <w:color w:val="auto"/>
                <w:kern w:val="0"/>
                <w:sz w:val="22"/>
                <w:szCs w:val="22"/>
                <w:highlight w:val="none"/>
              </w:rPr>
              <w:t>分。需提供合同为证明材料，且证明材料内须体现相关信息，否则不予认可。</w:t>
            </w:r>
          </w:p>
        </w:tc>
        <w:tc>
          <w:tcPr>
            <w:tcW w:w="393" w:type="pct"/>
            <w:vAlign w:val="center"/>
          </w:tcPr>
          <w:p>
            <w:pPr>
              <w:widowControl/>
              <w:spacing w:line="300" w:lineRule="exact"/>
              <w:jc w:val="center"/>
              <w:textAlignment w:val="center"/>
              <w:rPr>
                <w:rFonts w:hint="eastAsia" w:ascii="宋体" w:hAnsi="宋体" w:eastAsia="宋体" w:cs="宋体"/>
                <w:color w:val="auto"/>
                <w:sz w:val="22"/>
                <w:szCs w:val="22"/>
                <w:highlight w:val="none"/>
                <w:lang w:eastAsia="zh-CN"/>
              </w:rPr>
            </w:pPr>
            <w:r>
              <w:rPr>
                <w:rFonts w:hint="eastAsia" w:ascii="宋体" w:hAnsi="宋体" w:cs="宋体"/>
                <w:color w:val="auto"/>
                <w:sz w:val="22"/>
                <w:szCs w:val="22"/>
                <w:highlight w:val="none"/>
                <w:lang w:val="en-US" w:eastAsia="zh-CN"/>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23" w:hRule="atLeast"/>
          <w:jc w:val="center"/>
        </w:trPr>
        <w:tc>
          <w:tcPr>
            <w:tcW w:w="257" w:type="pct"/>
            <w:vAlign w:val="center"/>
          </w:tcPr>
          <w:p>
            <w:pPr>
              <w:pStyle w:val="20"/>
              <w:snapToGrid w:val="0"/>
              <w:jc w:val="center"/>
              <w:rPr>
                <w:rFonts w:hint="eastAsia" w:hAnsi="宋体" w:eastAsia="宋体" w:cs="宋体"/>
                <w:color w:val="auto"/>
                <w:sz w:val="22"/>
                <w:szCs w:val="22"/>
                <w:highlight w:val="none"/>
                <w:lang w:eastAsia="zh-CN"/>
              </w:rPr>
            </w:pPr>
            <w:r>
              <w:rPr>
                <w:rFonts w:hint="eastAsia" w:hAnsi="宋体" w:cs="宋体"/>
                <w:color w:val="auto"/>
                <w:sz w:val="22"/>
                <w:szCs w:val="22"/>
                <w:highlight w:val="none"/>
                <w:lang w:val="en-US" w:eastAsia="zh-CN"/>
              </w:rPr>
              <w:t>7</w:t>
            </w:r>
          </w:p>
        </w:tc>
        <w:tc>
          <w:tcPr>
            <w:tcW w:w="1022" w:type="pct"/>
            <w:vAlign w:val="center"/>
          </w:tcPr>
          <w:p>
            <w:pPr>
              <w:snapToGrid w:val="0"/>
              <w:jc w:val="center"/>
              <w:rPr>
                <w:rFonts w:ascii="宋体" w:hAnsi="宋体"/>
                <w:color w:val="auto"/>
                <w:sz w:val="22"/>
                <w:szCs w:val="22"/>
                <w:highlight w:val="none"/>
              </w:rPr>
            </w:pPr>
            <w:r>
              <w:rPr>
                <w:rFonts w:hint="eastAsia" w:ascii="宋体" w:hAnsi="宋体"/>
                <w:color w:val="auto"/>
                <w:sz w:val="22"/>
                <w:szCs w:val="22"/>
                <w:highlight w:val="none"/>
              </w:rPr>
              <w:t>项目团队</w:t>
            </w:r>
          </w:p>
          <w:p>
            <w:pPr>
              <w:snapToGrid w:val="0"/>
              <w:jc w:val="center"/>
              <w:rPr>
                <w:rFonts w:ascii="宋体" w:hAnsi="宋体"/>
                <w:color w:val="auto"/>
                <w:sz w:val="22"/>
                <w:szCs w:val="22"/>
                <w:highlight w:val="none"/>
              </w:rPr>
            </w:pPr>
          </w:p>
        </w:tc>
        <w:tc>
          <w:tcPr>
            <w:tcW w:w="3326" w:type="pct"/>
            <w:vAlign w:val="center"/>
          </w:tcPr>
          <w:p>
            <w:pPr>
              <w:widowControl/>
              <w:spacing w:line="360" w:lineRule="exact"/>
              <w:jc w:val="left"/>
              <w:rPr>
                <w:rFonts w:hint="eastAsia" w:ascii="宋体" w:hAnsi="宋体" w:eastAsia="宋体" w:cs="宋体"/>
                <w:color w:val="auto"/>
                <w:kern w:val="0"/>
                <w:sz w:val="22"/>
                <w:szCs w:val="22"/>
                <w:highlight w:val="none"/>
                <w:lang w:val="en-US" w:eastAsia="zh-CN"/>
              </w:rPr>
            </w:pPr>
            <w:r>
              <w:rPr>
                <w:rFonts w:hint="eastAsia" w:ascii="宋体" w:hAnsi="宋体" w:cs="宋体"/>
                <w:color w:val="auto"/>
                <w:kern w:val="0"/>
                <w:sz w:val="22"/>
                <w:szCs w:val="22"/>
                <w:highlight w:val="none"/>
              </w:rPr>
              <w:t>项</w:t>
            </w:r>
            <w:r>
              <w:rPr>
                <w:rFonts w:hint="eastAsia" w:ascii="宋体" w:hAnsi="宋体" w:eastAsia="宋体" w:cs="宋体"/>
                <w:color w:val="auto"/>
                <w:kern w:val="0"/>
                <w:sz w:val="22"/>
                <w:szCs w:val="22"/>
                <w:highlight w:val="none"/>
              </w:rPr>
              <w:t>目</w:t>
            </w:r>
            <w:r>
              <w:rPr>
                <w:rFonts w:hint="eastAsia" w:ascii="宋体" w:hAnsi="宋体" w:eastAsia="宋体" w:cs="宋体"/>
                <w:color w:val="auto"/>
                <w:kern w:val="0"/>
                <w:sz w:val="22"/>
                <w:szCs w:val="22"/>
                <w:highlight w:val="none"/>
                <w:lang w:val="en-US" w:eastAsia="zh-CN"/>
              </w:rPr>
              <w:t>班组成员</w:t>
            </w:r>
            <w:r>
              <w:rPr>
                <w:rFonts w:hint="eastAsia" w:ascii="宋体" w:hAnsi="宋体" w:cs="宋体"/>
                <w:color w:val="auto"/>
                <w:kern w:val="0"/>
                <w:sz w:val="22"/>
                <w:szCs w:val="22"/>
                <w:highlight w:val="none"/>
                <w:lang w:val="en-US" w:eastAsia="zh-CN"/>
              </w:rPr>
              <w:t>在采购文件要求的基础人数（</w:t>
            </w:r>
            <w:r>
              <w:rPr>
                <w:rFonts w:hint="eastAsia" w:ascii="宋体" w:hAnsi="宋体" w:eastAsia="宋体" w:cs="宋体"/>
                <w:color w:val="auto"/>
                <w:kern w:val="0"/>
                <w:sz w:val="22"/>
                <w:szCs w:val="22"/>
                <w:highlight w:val="none"/>
                <w:lang w:val="en-US" w:eastAsia="zh-CN"/>
              </w:rPr>
              <w:t>3人</w:t>
            </w:r>
            <w:r>
              <w:rPr>
                <w:rFonts w:hint="eastAsia" w:ascii="宋体" w:hAnsi="宋体" w:cs="宋体"/>
                <w:color w:val="auto"/>
                <w:kern w:val="0"/>
                <w:sz w:val="22"/>
                <w:szCs w:val="22"/>
                <w:highlight w:val="none"/>
                <w:lang w:val="en-US" w:eastAsia="zh-CN"/>
              </w:rPr>
              <w:t>）上</w:t>
            </w:r>
            <w:r>
              <w:rPr>
                <w:rFonts w:hint="eastAsia" w:ascii="宋体" w:hAnsi="宋体" w:eastAsia="宋体" w:cs="宋体"/>
                <w:color w:val="auto"/>
                <w:kern w:val="0"/>
                <w:sz w:val="22"/>
                <w:szCs w:val="22"/>
                <w:highlight w:val="none"/>
                <w:lang w:eastAsia="zh-CN"/>
              </w:rPr>
              <w:t>，</w:t>
            </w:r>
            <w:r>
              <w:rPr>
                <w:rFonts w:hint="eastAsia" w:ascii="宋体" w:hAnsi="宋体" w:cs="宋体"/>
                <w:color w:val="auto"/>
                <w:kern w:val="0"/>
                <w:sz w:val="22"/>
                <w:szCs w:val="22"/>
                <w:highlight w:val="none"/>
                <w:lang w:val="en-US" w:eastAsia="zh-CN"/>
              </w:rPr>
              <w:t>额外</w:t>
            </w:r>
            <w:r>
              <w:rPr>
                <w:rFonts w:hint="eastAsia" w:ascii="宋体" w:hAnsi="宋体" w:eastAsia="宋体" w:cs="宋体"/>
                <w:color w:val="auto"/>
                <w:kern w:val="0"/>
                <w:sz w:val="22"/>
                <w:szCs w:val="22"/>
                <w:highlight w:val="none"/>
                <w:lang w:val="en-US" w:eastAsia="zh-CN"/>
              </w:rPr>
              <w:t>具备数据治理工程师或数据安全工程师或数据安全审计师</w:t>
            </w:r>
            <w:r>
              <w:rPr>
                <w:rFonts w:hint="eastAsia" w:ascii="宋体" w:hAnsi="宋体" w:cs="宋体"/>
                <w:color w:val="auto"/>
                <w:kern w:val="0"/>
                <w:sz w:val="22"/>
                <w:szCs w:val="22"/>
                <w:highlight w:val="none"/>
                <w:lang w:val="en-US" w:eastAsia="zh-CN"/>
              </w:rPr>
              <w:t>等的服务人员</w:t>
            </w:r>
            <w:r>
              <w:rPr>
                <w:rFonts w:hint="eastAsia" w:ascii="宋体" w:hAnsi="宋体" w:eastAsia="宋体" w:cs="宋体"/>
                <w:color w:val="auto"/>
                <w:kern w:val="0"/>
                <w:sz w:val="22"/>
                <w:szCs w:val="22"/>
                <w:highlight w:val="none"/>
                <w:lang w:val="en-US" w:eastAsia="zh-CN"/>
              </w:rPr>
              <w:t>，每增加一人得2.5分，最高得</w:t>
            </w:r>
            <w:r>
              <w:rPr>
                <w:rFonts w:hint="eastAsia" w:ascii="宋体" w:hAnsi="宋体" w:cs="宋体"/>
                <w:color w:val="auto"/>
                <w:kern w:val="0"/>
                <w:sz w:val="22"/>
                <w:szCs w:val="22"/>
                <w:highlight w:val="none"/>
                <w:lang w:val="en-US" w:eastAsia="zh-CN"/>
              </w:rPr>
              <w:t>5</w:t>
            </w:r>
            <w:r>
              <w:rPr>
                <w:rFonts w:hint="eastAsia" w:ascii="宋体" w:hAnsi="宋体" w:eastAsia="宋体" w:cs="宋体"/>
                <w:color w:val="auto"/>
                <w:kern w:val="0"/>
                <w:sz w:val="22"/>
                <w:szCs w:val="22"/>
                <w:highlight w:val="none"/>
                <w:lang w:val="en-US" w:eastAsia="zh-CN"/>
              </w:rPr>
              <w:t>分。</w:t>
            </w:r>
          </w:p>
          <w:p>
            <w:pPr>
              <w:widowControl/>
              <w:spacing w:line="360" w:lineRule="exact"/>
              <w:jc w:val="left"/>
              <w:rPr>
                <w:rFonts w:ascii="宋体" w:hAnsi="宋体" w:cs="宋体"/>
                <w:color w:val="auto"/>
                <w:kern w:val="0"/>
                <w:sz w:val="22"/>
                <w:szCs w:val="22"/>
                <w:highlight w:val="none"/>
              </w:rPr>
            </w:pPr>
            <w:r>
              <w:rPr>
                <w:rFonts w:hint="eastAsia" w:ascii="宋体" w:hAnsi="宋体" w:eastAsia="宋体" w:cs="宋体"/>
                <w:color w:val="auto"/>
                <w:kern w:val="0"/>
                <w:sz w:val="22"/>
                <w:szCs w:val="22"/>
                <w:highlight w:val="none"/>
                <w:lang w:val="en-US" w:eastAsia="zh-CN"/>
              </w:rPr>
              <w:t>注：要求提供相关证书截图并加盖公章及近三个月在供应商的社保证明材料，否则不予认可。</w:t>
            </w:r>
          </w:p>
        </w:tc>
        <w:tc>
          <w:tcPr>
            <w:tcW w:w="393" w:type="pct"/>
            <w:vAlign w:val="center"/>
          </w:tcPr>
          <w:p>
            <w:pPr>
              <w:snapToGrid w:val="0"/>
              <w:jc w:val="center"/>
              <w:rPr>
                <w:rFonts w:hint="default" w:ascii="宋体" w:hAnsi="宋体" w:eastAsia="宋体"/>
                <w:color w:val="auto"/>
                <w:sz w:val="22"/>
                <w:szCs w:val="22"/>
                <w:highlight w:val="none"/>
                <w:lang w:val="en-US" w:eastAsia="zh-CN"/>
              </w:rPr>
            </w:pPr>
            <w:r>
              <w:rPr>
                <w:rFonts w:hint="eastAsia" w:ascii="宋体" w:hAnsi="宋体"/>
                <w:color w:val="auto"/>
                <w:sz w:val="22"/>
                <w:szCs w:val="22"/>
                <w:highlight w:val="none"/>
                <w:lang w:val="en-US" w:eastAsia="zh-CN"/>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92" w:hRule="atLeast"/>
          <w:jc w:val="center"/>
        </w:trPr>
        <w:tc>
          <w:tcPr>
            <w:tcW w:w="257" w:type="pct"/>
            <w:vAlign w:val="center"/>
          </w:tcPr>
          <w:p>
            <w:pPr>
              <w:pStyle w:val="20"/>
              <w:snapToGrid w:val="0"/>
              <w:jc w:val="center"/>
              <w:rPr>
                <w:rFonts w:hint="default" w:hAnsi="宋体" w:cs="宋体"/>
                <w:color w:val="auto"/>
                <w:sz w:val="22"/>
                <w:szCs w:val="22"/>
                <w:highlight w:val="none"/>
                <w:lang w:val="en-US" w:eastAsia="zh-CN"/>
              </w:rPr>
            </w:pPr>
            <w:r>
              <w:rPr>
                <w:rFonts w:hint="eastAsia" w:hAnsi="宋体" w:cs="宋体"/>
                <w:color w:val="auto"/>
                <w:sz w:val="22"/>
                <w:szCs w:val="22"/>
                <w:highlight w:val="none"/>
                <w:lang w:val="en-US" w:eastAsia="zh-CN"/>
              </w:rPr>
              <w:t>8</w:t>
            </w:r>
          </w:p>
        </w:tc>
        <w:tc>
          <w:tcPr>
            <w:tcW w:w="1022" w:type="pct"/>
            <w:vAlign w:val="center"/>
          </w:tcPr>
          <w:p>
            <w:pPr>
              <w:snapToGrid w:val="0"/>
              <w:jc w:val="center"/>
              <w:rPr>
                <w:rFonts w:ascii="宋体" w:hAnsi="宋体"/>
                <w:color w:val="auto"/>
                <w:sz w:val="22"/>
                <w:szCs w:val="22"/>
                <w:highlight w:val="none"/>
              </w:rPr>
            </w:pPr>
            <w:r>
              <w:rPr>
                <w:rFonts w:hint="eastAsia" w:ascii="宋体" w:hAnsi="宋体" w:cs="宋体"/>
                <w:color w:val="auto"/>
                <w:sz w:val="22"/>
                <w:szCs w:val="22"/>
                <w:highlight w:val="none"/>
              </w:rPr>
              <w:t>自主核心技术力量</w:t>
            </w:r>
          </w:p>
        </w:tc>
        <w:tc>
          <w:tcPr>
            <w:tcW w:w="3326" w:type="pct"/>
            <w:vAlign w:val="center"/>
          </w:tcPr>
          <w:p>
            <w:pPr>
              <w:widowControl/>
              <w:spacing w:line="360" w:lineRule="exact"/>
              <w:jc w:val="left"/>
              <w:rPr>
                <w:rFonts w:hint="eastAsia" w:ascii="宋体" w:hAnsi="宋体" w:cs="宋体"/>
                <w:color w:val="auto"/>
                <w:sz w:val="22"/>
                <w:szCs w:val="22"/>
                <w:highlight w:val="none"/>
                <w:lang w:eastAsia="zh-CN"/>
              </w:rPr>
            </w:pPr>
            <w:r>
              <w:rPr>
                <w:rFonts w:hint="eastAsia" w:ascii="宋体" w:hAnsi="宋体" w:cs="宋体"/>
                <w:color w:val="auto"/>
                <w:sz w:val="22"/>
                <w:szCs w:val="22"/>
                <w:highlight w:val="none"/>
              </w:rPr>
              <w:t>供应商持有与数据中台、全域数据中心直接相关的软件专利证书或核心技术自主知识产权证书，每个有效证书计1分，最多计5分</w:t>
            </w:r>
            <w:r>
              <w:rPr>
                <w:rFonts w:hint="eastAsia" w:ascii="宋体" w:hAnsi="宋体" w:cs="宋体"/>
                <w:color w:val="auto"/>
                <w:sz w:val="22"/>
                <w:szCs w:val="22"/>
                <w:highlight w:val="none"/>
                <w:lang w:eastAsia="zh-CN"/>
              </w:rPr>
              <w:t>。</w:t>
            </w:r>
          </w:p>
          <w:p>
            <w:pPr>
              <w:widowControl/>
              <w:spacing w:line="360" w:lineRule="exact"/>
              <w:jc w:val="left"/>
              <w:rPr>
                <w:rFonts w:hint="eastAsia" w:ascii="宋体" w:hAnsi="宋体" w:eastAsia="宋体" w:cs="宋体"/>
                <w:color w:val="auto"/>
                <w:kern w:val="0"/>
                <w:sz w:val="22"/>
                <w:szCs w:val="22"/>
                <w:highlight w:val="none"/>
                <w:lang w:val="en-US" w:eastAsia="zh-CN"/>
              </w:rPr>
            </w:pPr>
            <w:r>
              <w:rPr>
                <w:rFonts w:hint="eastAsia" w:ascii="宋体" w:hAnsi="宋体" w:cs="宋体"/>
                <w:color w:val="auto"/>
                <w:sz w:val="22"/>
                <w:szCs w:val="22"/>
                <w:highlight w:val="none"/>
              </w:rPr>
              <w:t>注:</w:t>
            </w:r>
            <w:r>
              <w:rPr>
                <w:rFonts w:hint="eastAsia" w:ascii="宋体" w:hAnsi="宋体" w:cs="宋体"/>
                <w:b/>
                <w:bCs/>
                <w:color w:val="auto"/>
                <w:sz w:val="22"/>
                <w:szCs w:val="22"/>
                <w:highlight w:val="none"/>
              </w:rPr>
              <w:t>需提供相关证书扫描件为证明材料，相关证书的被授予单位名称必须投标主体单位名称完全一致。</w:t>
            </w:r>
          </w:p>
        </w:tc>
        <w:tc>
          <w:tcPr>
            <w:tcW w:w="393" w:type="pct"/>
            <w:vAlign w:val="center"/>
          </w:tcPr>
          <w:p>
            <w:pPr>
              <w:snapToGrid w:val="0"/>
              <w:jc w:val="center"/>
              <w:rPr>
                <w:rFonts w:hint="default" w:ascii="宋体" w:hAnsi="宋体"/>
                <w:color w:val="auto"/>
                <w:sz w:val="22"/>
                <w:szCs w:val="22"/>
                <w:highlight w:val="none"/>
                <w:lang w:val="en-US" w:eastAsia="zh-CN"/>
              </w:rPr>
            </w:pPr>
            <w:r>
              <w:rPr>
                <w:rFonts w:hint="eastAsia" w:ascii="宋体" w:hAnsi="宋体"/>
                <w:color w:val="auto"/>
                <w:sz w:val="22"/>
                <w:szCs w:val="22"/>
                <w:highlight w:val="none"/>
                <w:lang w:val="en-US" w:eastAsia="zh-CN"/>
              </w:rPr>
              <w:t>5</w:t>
            </w:r>
          </w:p>
        </w:tc>
      </w:tr>
    </w:tbl>
    <w:p>
      <w:pPr>
        <w:adjustRightInd w:val="0"/>
        <w:snapToGrid w:val="0"/>
        <w:spacing w:line="440" w:lineRule="exact"/>
        <w:ind w:firstLine="442" w:firstLineChars="200"/>
        <w:rPr>
          <w:rFonts w:ascii="宋体" w:hAnsi="宋体" w:cs="宋体"/>
          <w:b/>
          <w:color w:val="auto"/>
          <w:sz w:val="22"/>
          <w:szCs w:val="22"/>
          <w:highlight w:val="none"/>
        </w:rPr>
      </w:pPr>
      <w:r>
        <w:rPr>
          <w:rFonts w:hint="eastAsia" w:ascii="宋体" w:hAnsi="宋体" w:cs="宋体"/>
          <w:b/>
          <w:color w:val="auto"/>
          <w:sz w:val="22"/>
          <w:szCs w:val="22"/>
          <w:highlight w:val="none"/>
        </w:rPr>
        <w:t>2、报价分的评定（40分）</w:t>
      </w:r>
    </w:p>
    <w:p>
      <w:pPr>
        <w:spacing w:line="400" w:lineRule="exact"/>
        <w:ind w:firstLine="440" w:firstLineChars="200"/>
        <w:rPr>
          <w:rFonts w:ascii="宋体" w:hAnsi="宋体" w:cs="宋体"/>
          <w:color w:val="auto"/>
          <w:kern w:val="0"/>
          <w:sz w:val="22"/>
          <w:szCs w:val="22"/>
          <w:highlight w:val="none"/>
        </w:rPr>
      </w:pPr>
      <w:r>
        <w:rPr>
          <w:rFonts w:hint="eastAsia" w:ascii="宋体" w:hAnsi="宋体" w:cs="宋体"/>
          <w:color w:val="auto"/>
          <w:kern w:val="0"/>
          <w:sz w:val="22"/>
          <w:szCs w:val="22"/>
          <w:highlight w:val="none"/>
        </w:rPr>
        <w:t>满足采购文件要求且投标报价最低的投标价为评标基准价，其余投标人投标价与该基准价对比，计算出商务报价评分值（保留小数2位）：</w:t>
      </w:r>
    </w:p>
    <w:p>
      <w:pPr>
        <w:spacing w:line="400" w:lineRule="exact"/>
        <w:ind w:left="141" w:leftChars="67"/>
        <w:rPr>
          <w:rFonts w:ascii="宋体" w:hAnsi="宋体" w:cs="宋体"/>
          <w:color w:val="auto"/>
          <w:kern w:val="0"/>
          <w:sz w:val="22"/>
          <w:szCs w:val="22"/>
          <w:highlight w:val="none"/>
        </w:rPr>
      </w:pPr>
      <w:r>
        <w:rPr>
          <w:rFonts w:hint="eastAsia" w:ascii="宋体" w:hAnsi="宋体" w:cs="宋体"/>
          <w:color w:val="auto"/>
          <w:kern w:val="0"/>
          <w:sz w:val="22"/>
          <w:szCs w:val="22"/>
          <w:highlight w:val="none"/>
        </w:rPr>
        <w:t>1） 有效投标人的投标价等于评标基准价时其报价分为满分40分；</w:t>
      </w:r>
    </w:p>
    <w:p>
      <w:pPr>
        <w:spacing w:line="400" w:lineRule="exact"/>
        <w:ind w:left="141" w:leftChars="67"/>
        <w:rPr>
          <w:rFonts w:ascii="宋体" w:hAnsi="宋体" w:cs="宋体"/>
          <w:color w:val="auto"/>
          <w:kern w:val="0"/>
          <w:sz w:val="22"/>
          <w:szCs w:val="22"/>
          <w:highlight w:val="none"/>
        </w:rPr>
      </w:pPr>
      <w:r>
        <w:rPr>
          <w:rFonts w:hint="eastAsia" w:ascii="宋体" w:hAnsi="宋体" w:cs="宋体"/>
          <w:color w:val="auto"/>
          <w:kern w:val="0"/>
          <w:sz w:val="22"/>
          <w:szCs w:val="22"/>
          <w:highlight w:val="none"/>
        </w:rPr>
        <w:t>2） 其他投标人的价格分按以下公式计算：</w:t>
      </w:r>
    </w:p>
    <w:p>
      <w:pPr>
        <w:spacing w:line="400" w:lineRule="exact"/>
        <w:ind w:left="141" w:leftChars="67" w:firstLine="110" w:firstLineChars="50"/>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u w:val="single"/>
        </w:rPr>
        <w:t>投标报价得分=（评标基准价/投标人投标价）×40×100%（保留小数2位）</w:t>
      </w:r>
    </w:p>
    <w:p>
      <w:pPr>
        <w:spacing w:line="400" w:lineRule="exact"/>
        <w:ind w:left="141" w:leftChars="67"/>
        <w:rPr>
          <w:rFonts w:ascii="宋体" w:hAnsi="宋体" w:cs="宋体"/>
          <w:b/>
          <w:color w:val="auto"/>
          <w:kern w:val="0"/>
          <w:sz w:val="22"/>
          <w:szCs w:val="22"/>
          <w:highlight w:val="none"/>
          <w:u w:val="single"/>
        </w:rPr>
      </w:pPr>
      <w:r>
        <w:rPr>
          <w:rFonts w:hint="eastAsia" w:ascii="宋体" w:hAnsi="宋体" w:cs="宋体"/>
          <w:b/>
          <w:color w:val="auto"/>
          <w:kern w:val="0"/>
          <w:sz w:val="22"/>
          <w:szCs w:val="22"/>
          <w:highlight w:val="none"/>
        </w:rPr>
        <w:t>3）</w:t>
      </w:r>
      <w:r>
        <w:rPr>
          <w:rFonts w:hint="eastAsia" w:ascii="宋体" w:hAnsi="宋体" w:cs="宋体"/>
          <w:b/>
          <w:color w:val="auto"/>
          <w:kern w:val="0"/>
          <w:sz w:val="22"/>
          <w:szCs w:val="22"/>
          <w:highlight w:val="none"/>
          <w:u w:val="single"/>
        </w:rPr>
        <w:t>▲本项目采购预算为2</w:t>
      </w:r>
      <w:r>
        <w:rPr>
          <w:rFonts w:hint="eastAsia" w:ascii="宋体" w:hAnsi="宋体" w:cs="宋体"/>
          <w:b/>
          <w:color w:val="auto"/>
          <w:kern w:val="0"/>
          <w:sz w:val="22"/>
          <w:szCs w:val="22"/>
          <w:highlight w:val="none"/>
          <w:u w:val="single"/>
          <w:lang w:val="en-US" w:eastAsia="zh-CN"/>
        </w:rPr>
        <w:t>0</w:t>
      </w:r>
      <w:r>
        <w:rPr>
          <w:rFonts w:hint="eastAsia" w:ascii="宋体" w:hAnsi="宋体" w:cs="宋体"/>
          <w:b/>
          <w:color w:val="auto"/>
          <w:kern w:val="0"/>
          <w:sz w:val="22"/>
          <w:szCs w:val="22"/>
          <w:highlight w:val="none"/>
          <w:u w:val="single"/>
        </w:rPr>
        <w:t>万元，如投标人报价超过采购预算，其投标文件作无效标处理。</w:t>
      </w:r>
    </w:p>
    <w:p>
      <w:pPr>
        <w:spacing w:line="400" w:lineRule="exact"/>
        <w:ind w:left="141" w:leftChars="67"/>
        <w:rPr>
          <w:rFonts w:ascii="宋体" w:hAnsi="宋体" w:cs="宋体"/>
          <w:color w:val="auto"/>
          <w:kern w:val="0"/>
          <w:sz w:val="22"/>
          <w:szCs w:val="22"/>
          <w:highlight w:val="none"/>
        </w:rPr>
      </w:pPr>
      <w:r>
        <w:rPr>
          <w:rFonts w:hint="eastAsia" w:ascii="宋体" w:hAnsi="宋体" w:cs="宋体"/>
          <w:color w:val="auto"/>
          <w:kern w:val="0"/>
          <w:sz w:val="22"/>
          <w:szCs w:val="22"/>
          <w:highlight w:val="none"/>
        </w:rPr>
        <w:t>4）如有效标不足法定家数或所有投标人的报价均超采购预算，本项目废（流）标，应重新组织采购。</w:t>
      </w:r>
    </w:p>
    <w:p>
      <w:pPr>
        <w:spacing w:line="40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3、有效投标人的综合得分为商务技术分和报价分的总和。</w:t>
      </w:r>
    </w:p>
    <w:p>
      <w:pPr>
        <w:adjustRightInd w:val="0"/>
        <w:snapToGrid w:val="0"/>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4、评标委员会依据法律、法规及采购文件有关规定在有效标中按投标人的综合得分（商务技术分及报价分之各）高低进行排序，综合得分前二名投标人依次作为第一中标候选人和第二中标候选人向采购人推荐，并提交评标报告。综合得分相同的以报价分得分高的优先；综合</w:t>
      </w:r>
      <w:r>
        <w:rPr>
          <w:rFonts w:hint="eastAsia" w:ascii="宋体" w:hAnsi="宋体" w:cs="宋体"/>
          <w:color w:val="auto"/>
          <w:kern w:val="0"/>
          <w:sz w:val="22"/>
          <w:szCs w:val="22"/>
          <w:highlight w:val="none"/>
        </w:rPr>
        <w:t>得分相同且</w:t>
      </w:r>
      <w:r>
        <w:rPr>
          <w:rFonts w:hint="eastAsia" w:ascii="宋体" w:hAnsi="宋体" w:cs="宋体"/>
          <w:color w:val="auto"/>
          <w:sz w:val="22"/>
          <w:szCs w:val="22"/>
          <w:highlight w:val="none"/>
        </w:rPr>
        <w:t>报价分得分相同的，由评标委员会随机抽签决定排序。</w:t>
      </w:r>
    </w:p>
    <w:p>
      <w:pPr>
        <w:adjustRightInd w:val="0"/>
        <w:snapToGrid w:val="0"/>
        <w:spacing w:line="440" w:lineRule="exact"/>
        <w:rPr>
          <w:rFonts w:ascii="宋体" w:hAnsi="宋体" w:cs="宋体"/>
          <w:color w:val="auto"/>
          <w:sz w:val="22"/>
          <w:szCs w:val="22"/>
          <w:highlight w:val="none"/>
        </w:rPr>
      </w:pPr>
      <w:r>
        <w:rPr>
          <w:rFonts w:hint="eastAsia" w:ascii="宋体" w:hAnsi="宋体" w:cs="宋体"/>
          <w:b/>
          <w:color w:val="auto"/>
          <w:sz w:val="22"/>
          <w:szCs w:val="22"/>
          <w:highlight w:val="none"/>
        </w:rPr>
        <w:t>五、定标办法</w:t>
      </w:r>
    </w:p>
    <w:p>
      <w:pPr>
        <w:spacing w:line="440" w:lineRule="exact"/>
        <w:ind w:firstLine="450"/>
        <w:rPr>
          <w:rFonts w:ascii="宋体" w:hAnsi="宋体" w:cs="宋体"/>
          <w:color w:val="auto"/>
          <w:sz w:val="22"/>
          <w:szCs w:val="22"/>
          <w:highlight w:val="none"/>
        </w:rPr>
      </w:pPr>
      <w:r>
        <w:rPr>
          <w:rFonts w:hint="eastAsia" w:ascii="宋体" w:hAnsi="宋体" w:cs="宋体"/>
          <w:color w:val="auto"/>
          <w:sz w:val="22"/>
          <w:szCs w:val="22"/>
          <w:highlight w:val="none"/>
        </w:rPr>
        <w:t>本次采购由评标委员会推荐中标候选人，采购人根据评标委员会的推荐结果进行最终确认。若中标候选人放弃中标资格；因不可抗力提出不能履行合同；或者采购文件规定应当提交履约保证金而在规定的期限内未能提交的；或未能在规定时间内与采购人签订合同的；或者经质疑，采购人审查后，确因排名中标候选人在本次采购活动中存在违法违规行为或其他原因使质疑成立的，采购人可以视具体情况确定是否由排名第二的中标候选人为中标人。如第二中标候选人因前款规定的同样原因不能签订合同的，本次采购失败，重新组织采购。</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六、确定中标人</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评标结束后，采购人将在浙江政府采购网、温州国企采购平台上公示中标结果。公示期结束，且在规定期限内采购代理机构将向中标人发出中标通知书。</w:t>
      </w:r>
    </w:p>
    <w:p>
      <w:pPr>
        <w:adjustRightInd w:val="0"/>
        <w:snapToGrid w:val="0"/>
        <w:spacing w:line="440" w:lineRule="exact"/>
        <w:rPr>
          <w:rFonts w:ascii="宋体" w:hAnsi="宋体" w:cs="宋体"/>
          <w:b/>
          <w:color w:val="auto"/>
          <w:sz w:val="22"/>
          <w:szCs w:val="22"/>
          <w:highlight w:val="none"/>
        </w:rPr>
      </w:pPr>
      <w:r>
        <w:rPr>
          <w:rFonts w:hint="eastAsia" w:ascii="宋体" w:hAnsi="宋体" w:cs="宋体"/>
          <w:b/>
          <w:color w:val="auto"/>
          <w:sz w:val="22"/>
          <w:szCs w:val="22"/>
          <w:highlight w:val="none"/>
        </w:rPr>
        <w:t>七、投标人义务</w:t>
      </w:r>
    </w:p>
    <w:p>
      <w:pPr>
        <w:adjustRightInd w:val="0"/>
        <w:snapToGrid w:val="0"/>
        <w:spacing w:line="44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投标人应随时接受评标委员会的询标，解答包括有关的商务、技术问题等。</w:t>
      </w:r>
    </w:p>
    <w:p>
      <w:pPr>
        <w:spacing w:line="460" w:lineRule="exact"/>
        <w:rPr>
          <w:rFonts w:ascii="宋体" w:hAnsi="宋体" w:cs="宋体"/>
          <w:b/>
          <w:bCs/>
          <w:color w:val="auto"/>
          <w:sz w:val="22"/>
          <w:szCs w:val="22"/>
          <w:highlight w:val="none"/>
        </w:rPr>
      </w:pPr>
    </w:p>
    <w:p>
      <w:pPr>
        <w:pStyle w:val="4"/>
        <w:spacing w:line="400" w:lineRule="exact"/>
        <w:rPr>
          <w:rFonts w:ascii="宋体" w:hAnsi="宋体" w:eastAsia="宋体" w:cs="Arial"/>
          <w:color w:val="auto"/>
          <w:sz w:val="36"/>
          <w:szCs w:val="36"/>
          <w:highlight w:val="none"/>
        </w:rPr>
      </w:pPr>
      <w:bookmarkStart w:id="157" w:name="_Toc239145360"/>
      <w:bookmarkStart w:id="158" w:name="_Toc221374632"/>
      <w:bookmarkStart w:id="159" w:name="_Toc249758721"/>
      <w:bookmarkStart w:id="160" w:name="_Toc245191320"/>
      <w:bookmarkStart w:id="161" w:name="_Toc246261271"/>
      <w:bookmarkStart w:id="162" w:name="_Toc249758871"/>
      <w:bookmarkStart w:id="163" w:name="_Toc221356894"/>
      <w:bookmarkStart w:id="164" w:name="_Toc262049425"/>
      <w:bookmarkStart w:id="165" w:name="_Toc241404208"/>
      <w:bookmarkStart w:id="166" w:name="_Toc221356957"/>
      <w:bookmarkStart w:id="167" w:name="_Toc222114885"/>
      <w:bookmarkStart w:id="168" w:name="_Toc262105510"/>
      <w:bookmarkStart w:id="169" w:name="_Toc245722287"/>
      <w:bookmarkStart w:id="170" w:name="_Toc223716004"/>
      <w:bookmarkStart w:id="171" w:name="_Toc221423625"/>
      <w:r>
        <w:rPr>
          <w:rFonts w:hint="eastAsia" w:ascii="宋体" w:hAnsi="宋体" w:cs="宋体"/>
          <w:color w:val="auto"/>
          <w:sz w:val="36"/>
          <w:szCs w:val="36"/>
          <w:highlight w:val="none"/>
        </w:rPr>
        <w:br w:type="page"/>
      </w:r>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Start w:id="172" w:name="_Toc2621"/>
      <w:bookmarkStart w:id="173" w:name="_Toc23884103"/>
      <w:r>
        <w:rPr>
          <w:rFonts w:hint="eastAsia" w:ascii="宋体" w:hAnsi="宋体" w:eastAsia="宋体" w:cs="宋体"/>
          <w:color w:val="auto"/>
          <w:sz w:val="36"/>
          <w:szCs w:val="36"/>
          <w:highlight w:val="none"/>
        </w:rPr>
        <w:t>第四部分   合同格式</w:t>
      </w:r>
      <w:bookmarkEnd w:id="172"/>
      <w:bookmarkEnd w:id="173"/>
    </w:p>
    <w:p>
      <w:pPr>
        <w:spacing w:line="440" w:lineRule="exact"/>
        <w:ind w:firstLine="440" w:firstLineChars="200"/>
        <w:rPr>
          <w:rFonts w:ascii="宋体" w:hAnsi="宋体" w:cs="Arial"/>
          <w:color w:val="auto"/>
          <w:sz w:val="22"/>
          <w:szCs w:val="22"/>
          <w:highlight w:val="none"/>
        </w:rPr>
      </w:pPr>
      <w:r>
        <w:rPr>
          <w:rFonts w:ascii="宋体" w:hAnsi="宋体" w:cs="Arial"/>
          <w:color w:val="auto"/>
          <w:sz w:val="22"/>
          <w:szCs w:val="22"/>
          <w:highlight w:val="none"/>
        </w:rPr>
        <w:t>本条款为</w:t>
      </w:r>
      <w:r>
        <w:rPr>
          <w:rFonts w:hint="eastAsia" w:ascii="宋体" w:hAnsi="宋体" w:cs="Arial"/>
          <w:color w:val="auto"/>
          <w:sz w:val="22"/>
          <w:szCs w:val="22"/>
          <w:highlight w:val="none"/>
        </w:rPr>
        <w:t>甲乙</w:t>
      </w:r>
      <w:r>
        <w:rPr>
          <w:rFonts w:ascii="宋体" w:hAnsi="宋体" w:cs="Arial"/>
          <w:color w:val="auto"/>
          <w:sz w:val="22"/>
          <w:szCs w:val="22"/>
          <w:highlight w:val="none"/>
        </w:rPr>
        <w:t>双方必须遵守的基本条款，甲乙双方也可根据实际情况另签合同条款，正式合同以双方签字盖章的文本为准。</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采购人：</w:t>
      </w:r>
      <w:r>
        <w:rPr>
          <w:rFonts w:hint="eastAsia" w:ascii="宋体" w:hAnsi="宋体" w:eastAsia="宋体"/>
          <w:color w:val="auto"/>
          <w:sz w:val="22"/>
          <w:szCs w:val="20"/>
          <w:highlight w:val="none"/>
          <w:u w:val="single"/>
        </w:rPr>
        <w:t xml:space="preserve"> </w:t>
      </w:r>
      <w:r>
        <w:rPr>
          <w:rFonts w:ascii="宋体" w:hAnsi="宋体" w:eastAsia="宋体"/>
          <w:color w:val="auto"/>
          <w:sz w:val="22"/>
          <w:szCs w:val="20"/>
          <w:highlight w:val="none"/>
          <w:u w:val="single"/>
        </w:rPr>
        <w:t xml:space="preserve">                         </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中标供应商：</w:t>
      </w:r>
      <w:r>
        <w:rPr>
          <w:rFonts w:hint="eastAsia" w:ascii="宋体" w:hAnsi="宋体" w:eastAsia="宋体"/>
          <w:b/>
          <w:color w:val="auto"/>
          <w:sz w:val="22"/>
          <w:highlight w:val="none"/>
          <w:u w:val="single"/>
        </w:rPr>
        <w:t xml:space="preserve">          </w:t>
      </w:r>
      <w:r>
        <w:rPr>
          <w:rFonts w:ascii="宋体" w:hAnsi="宋体" w:eastAsia="宋体"/>
          <w:b/>
          <w:color w:val="auto"/>
          <w:sz w:val="22"/>
          <w:highlight w:val="none"/>
          <w:u w:val="single"/>
        </w:rPr>
        <w:t xml:space="preserve">   </w:t>
      </w:r>
      <w:r>
        <w:rPr>
          <w:rFonts w:hint="eastAsia" w:ascii="宋体" w:hAnsi="宋体" w:eastAsia="宋体"/>
          <w:b/>
          <w:color w:val="auto"/>
          <w:sz w:val="22"/>
          <w:highlight w:val="none"/>
          <w:u w:val="single"/>
        </w:rPr>
        <w:t xml:space="preserve"> </w:t>
      </w:r>
      <w:r>
        <w:rPr>
          <w:rFonts w:ascii="宋体" w:hAnsi="宋体" w:eastAsia="宋体"/>
          <w:b/>
          <w:color w:val="auto"/>
          <w:sz w:val="22"/>
          <w:highlight w:val="none"/>
          <w:u w:val="single"/>
        </w:rPr>
        <w:t xml:space="preserve">   </w:t>
      </w:r>
      <w:r>
        <w:rPr>
          <w:rFonts w:hint="eastAsia" w:ascii="宋体" w:hAnsi="宋体" w:eastAsia="宋体"/>
          <w:b/>
          <w:color w:val="auto"/>
          <w:sz w:val="22"/>
          <w:highlight w:val="none"/>
          <w:u w:val="single"/>
        </w:rPr>
        <w:t xml:space="preserve">     </w:t>
      </w:r>
    </w:p>
    <w:p>
      <w:pPr>
        <w:pStyle w:val="20"/>
        <w:snapToGrid w:val="0"/>
        <w:spacing w:line="440" w:lineRule="atLeast"/>
        <w:ind w:firstLine="570"/>
        <w:rPr>
          <w:rFonts w:hint="eastAsia" w:ascii="宋体" w:hAnsi="宋体" w:eastAsia="宋体"/>
          <w:b/>
          <w:color w:val="auto"/>
          <w:sz w:val="22"/>
          <w:highlight w:val="none"/>
        </w:rPr>
      </w:pPr>
      <w:r>
        <w:rPr>
          <w:rFonts w:ascii="宋体" w:hAnsi="宋体" w:eastAsia="宋体" w:cs="Arial"/>
          <w:color w:val="auto"/>
          <w:sz w:val="22"/>
          <w:szCs w:val="22"/>
          <w:highlight w:val="none"/>
        </w:rPr>
        <w:t>鉴于甲方于20</w:t>
      </w:r>
      <w:r>
        <w:rPr>
          <w:rFonts w:hint="eastAsia" w:ascii="宋体" w:hAnsi="宋体" w:eastAsia="宋体" w:cs="Arial"/>
          <w:color w:val="auto"/>
          <w:sz w:val="22"/>
          <w:szCs w:val="22"/>
          <w:highlight w:val="none"/>
          <w:lang w:val="en-US" w:eastAsia="zh-CN"/>
        </w:rPr>
        <w:t>24</w:t>
      </w:r>
      <w:r>
        <w:rPr>
          <w:rFonts w:ascii="宋体" w:hAnsi="宋体" w:eastAsia="宋体" w:cs="Arial"/>
          <w:color w:val="auto"/>
          <w:sz w:val="22"/>
          <w:szCs w:val="22"/>
          <w:highlight w:val="none"/>
        </w:rPr>
        <w:t>年  月  日接受乙方对</w:t>
      </w:r>
      <w:r>
        <w:rPr>
          <w:rFonts w:hint="eastAsia" w:hAnsi="宋体" w:cs="Arial"/>
          <w:color w:val="auto"/>
          <w:sz w:val="22"/>
          <w:szCs w:val="22"/>
          <w:highlight w:val="none"/>
          <w:u w:val="single"/>
          <w:lang w:eastAsia="zh-CN"/>
        </w:rPr>
        <w:t>教育部职业院校中台数据对接服务</w:t>
      </w:r>
      <w:r>
        <w:rPr>
          <w:rFonts w:ascii="宋体" w:hAnsi="宋体" w:eastAsia="宋体" w:cs="Arial"/>
          <w:color w:val="auto"/>
          <w:sz w:val="22"/>
          <w:szCs w:val="22"/>
          <w:highlight w:val="none"/>
        </w:rPr>
        <w:t>的投标，双方根据《中华人民共和国</w:t>
      </w:r>
      <w:r>
        <w:rPr>
          <w:rFonts w:hint="eastAsia" w:hAnsi="宋体" w:cs="Arial"/>
          <w:color w:val="auto"/>
          <w:sz w:val="22"/>
          <w:szCs w:val="22"/>
          <w:highlight w:val="none"/>
          <w:lang w:val="en-US" w:eastAsia="zh-CN"/>
        </w:rPr>
        <w:t>民法典</w:t>
      </w:r>
      <w:r>
        <w:rPr>
          <w:rFonts w:ascii="宋体" w:hAnsi="宋体" w:eastAsia="宋体" w:cs="Arial"/>
          <w:color w:val="auto"/>
          <w:sz w:val="22"/>
          <w:szCs w:val="22"/>
          <w:highlight w:val="none"/>
        </w:rPr>
        <w:t>》和本项目的招标文件、投标文件及其投标中的承诺，经双方协商，同意签订本合同，共同遵守：</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cs="宋体"/>
          <w:b/>
          <w:color w:val="auto"/>
          <w:sz w:val="22"/>
          <w:highlight w:val="none"/>
        </w:rPr>
        <w:t>第一条：合同内容：依据招标文件及采购人规定的服务内容。</w:t>
      </w:r>
    </w:p>
    <w:p>
      <w:pPr>
        <w:pStyle w:val="20"/>
        <w:snapToGrid w:val="0"/>
        <w:spacing w:line="440" w:lineRule="atLeast"/>
        <w:rPr>
          <w:rFonts w:hint="eastAsia" w:ascii="宋体" w:hAnsi="宋体" w:eastAsia="宋体"/>
          <w:b/>
          <w:color w:val="auto"/>
          <w:sz w:val="22"/>
          <w:highlight w:val="none"/>
          <w:lang w:eastAsia="zh-CN"/>
        </w:rPr>
      </w:pPr>
      <w:r>
        <w:rPr>
          <w:rFonts w:hint="eastAsia" w:ascii="宋体" w:hAnsi="宋体" w:eastAsia="宋体" w:cs="宋体"/>
          <w:b/>
          <w:color w:val="auto"/>
          <w:sz w:val="22"/>
          <w:highlight w:val="none"/>
        </w:rPr>
        <w:t>第</w:t>
      </w:r>
      <w:r>
        <w:rPr>
          <w:rFonts w:hint="eastAsia" w:ascii="宋体" w:hAnsi="宋体" w:eastAsia="宋体"/>
          <w:b/>
          <w:color w:val="auto"/>
          <w:sz w:val="22"/>
          <w:highlight w:val="none"/>
        </w:rPr>
        <w:t>二条：</w:t>
      </w:r>
      <w:r>
        <w:rPr>
          <w:rFonts w:hint="eastAsia" w:ascii="宋体" w:hAnsi="宋体" w:eastAsia="宋体" w:cs="宋体"/>
          <w:b/>
          <w:color w:val="auto"/>
          <w:sz w:val="22"/>
          <w:highlight w:val="none"/>
          <w:lang w:val="en-US" w:eastAsia="zh-CN"/>
        </w:rPr>
        <w:t>项目完工进度保证</w:t>
      </w:r>
    </w:p>
    <w:p>
      <w:pPr>
        <w:snapToGrid w:val="0"/>
        <w:spacing w:line="440" w:lineRule="atLeast"/>
        <w:ind w:firstLine="420"/>
        <w:rPr>
          <w:rFonts w:hint="eastAsia" w:ascii="宋体" w:hAnsi="宋体"/>
          <w:b/>
          <w:color w:val="auto"/>
          <w:sz w:val="22"/>
          <w:highlight w:val="none"/>
        </w:rPr>
      </w:pPr>
      <w:r>
        <w:rPr>
          <w:rFonts w:hint="eastAsia" w:ascii="宋体" w:hAnsi="宋体" w:cs="Arial"/>
          <w:b/>
          <w:bCs w:val="0"/>
          <w:color w:val="auto"/>
          <w:szCs w:val="21"/>
          <w:highlight w:val="none"/>
        </w:rPr>
        <w:t>本项目须在2024年12月前完成2024年全国职业教育智慧大脑院校中台数据全部数据表上报</w:t>
      </w:r>
      <w:r>
        <w:rPr>
          <w:rFonts w:hint="eastAsia" w:ascii="宋体" w:hAnsi="宋体" w:cs="Arial"/>
          <w:bCs/>
          <w:color w:val="auto"/>
          <w:szCs w:val="21"/>
          <w:highlight w:val="none"/>
        </w:rPr>
        <w:t>。</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第三条：中台数据对接</w:t>
      </w:r>
    </w:p>
    <w:p>
      <w:pPr>
        <w:pStyle w:val="20"/>
        <w:snapToGrid w:val="0"/>
        <w:spacing w:line="440" w:lineRule="atLeast"/>
        <w:ind w:firstLine="360"/>
        <w:rPr>
          <w:rFonts w:hint="eastAsia" w:ascii="宋体" w:hAnsi="宋体" w:eastAsia="宋体"/>
          <w:bCs/>
          <w:color w:val="auto"/>
          <w:sz w:val="22"/>
          <w:highlight w:val="none"/>
        </w:rPr>
      </w:pPr>
      <w:r>
        <w:rPr>
          <w:rFonts w:hint="eastAsia" w:ascii="宋体" w:hAnsi="宋体" w:eastAsia="宋体" w:cs="宋体"/>
          <w:bCs/>
          <w:color w:val="auto"/>
          <w:sz w:val="22"/>
          <w:highlight w:val="none"/>
        </w:rPr>
        <w:t>乙方</w:t>
      </w:r>
      <w:r>
        <w:rPr>
          <w:rFonts w:hint="eastAsia" w:ascii="宋体" w:hAnsi="宋体" w:eastAsia="宋体"/>
          <w:bCs/>
          <w:color w:val="auto"/>
          <w:sz w:val="22"/>
          <w:highlight w:val="none"/>
        </w:rPr>
        <w:t>须按招标文件要求提供“离线数据集成系统”一年的使用权并配合学校开展教育部职业院校中台数据对接，费用包含在合同总价中。</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第</w:t>
      </w:r>
      <w:r>
        <w:rPr>
          <w:rFonts w:hint="eastAsia" w:ascii="宋体" w:hAnsi="宋体" w:eastAsia="宋体" w:cs="宋体"/>
          <w:b/>
          <w:color w:val="auto"/>
          <w:sz w:val="22"/>
          <w:highlight w:val="none"/>
        </w:rPr>
        <w:t>四</w:t>
      </w:r>
      <w:r>
        <w:rPr>
          <w:rFonts w:hint="eastAsia" w:ascii="宋体" w:hAnsi="宋体" w:eastAsia="宋体"/>
          <w:b/>
          <w:color w:val="auto"/>
          <w:sz w:val="22"/>
          <w:highlight w:val="none"/>
        </w:rPr>
        <w:t>条：售后服务</w:t>
      </w:r>
    </w:p>
    <w:p>
      <w:pPr>
        <w:pStyle w:val="20"/>
        <w:snapToGrid w:val="0"/>
        <w:spacing w:line="440" w:lineRule="atLeast"/>
        <w:ind w:firstLine="480"/>
        <w:rPr>
          <w:rFonts w:hint="eastAsia" w:ascii="宋体" w:hAnsi="宋体" w:eastAsia="宋体"/>
          <w:bCs/>
          <w:color w:val="auto"/>
          <w:sz w:val="22"/>
          <w:highlight w:val="none"/>
        </w:rPr>
      </w:pPr>
      <w:r>
        <w:rPr>
          <w:rFonts w:hint="eastAsia" w:ascii="宋体" w:hAnsi="宋体" w:eastAsia="宋体" w:cs="宋体"/>
          <w:bCs/>
          <w:color w:val="auto"/>
          <w:sz w:val="22"/>
          <w:highlight w:val="none"/>
        </w:rPr>
        <w:t>乙方</w:t>
      </w:r>
      <w:r>
        <w:rPr>
          <w:rFonts w:hint="eastAsia" w:ascii="宋体" w:hAnsi="宋体" w:eastAsia="宋体"/>
          <w:bCs/>
          <w:color w:val="auto"/>
          <w:sz w:val="22"/>
          <w:highlight w:val="none"/>
        </w:rPr>
        <w:t>承诺售后服务按照投标承诺的服务计划实施。</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第</w:t>
      </w:r>
      <w:r>
        <w:rPr>
          <w:rFonts w:hint="eastAsia" w:hAnsi="宋体"/>
          <w:b/>
          <w:color w:val="auto"/>
          <w:sz w:val="22"/>
          <w:highlight w:val="none"/>
          <w:lang w:val="en-US" w:eastAsia="zh-CN"/>
        </w:rPr>
        <w:t>五</w:t>
      </w:r>
      <w:r>
        <w:rPr>
          <w:rFonts w:hint="eastAsia" w:ascii="宋体" w:hAnsi="宋体" w:eastAsia="宋体"/>
          <w:b/>
          <w:color w:val="auto"/>
          <w:sz w:val="22"/>
          <w:highlight w:val="none"/>
        </w:rPr>
        <w:t>条：履约保证金</w:t>
      </w:r>
    </w:p>
    <w:p>
      <w:pPr>
        <w:pStyle w:val="20"/>
        <w:snapToGrid w:val="0"/>
        <w:spacing w:line="400" w:lineRule="atLeast"/>
        <w:ind w:firstLine="440" w:firstLineChars="200"/>
        <w:rPr>
          <w:rFonts w:hint="eastAsia" w:ascii="宋体" w:hAnsi="宋体" w:eastAsia="宋体"/>
          <w:bCs/>
          <w:color w:val="auto"/>
          <w:sz w:val="22"/>
          <w:szCs w:val="22"/>
          <w:highlight w:val="none"/>
          <w:u w:val="single"/>
        </w:rPr>
      </w:pPr>
      <w:r>
        <w:rPr>
          <w:rFonts w:hint="eastAsia" w:ascii="宋体" w:hAnsi="宋体" w:eastAsia="宋体"/>
          <w:bCs/>
          <w:color w:val="auto"/>
          <w:sz w:val="22"/>
          <w:szCs w:val="22"/>
          <w:highlight w:val="none"/>
          <w:u w:val="single"/>
        </w:rPr>
        <w:t>按照招标文件规定。</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第</w:t>
      </w:r>
      <w:r>
        <w:rPr>
          <w:rFonts w:hint="eastAsia" w:hAnsi="宋体"/>
          <w:b/>
          <w:color w:val="auto"/>
          <w:sz w:val="22"/>
          <w:highlight w:val="none"/>
          <w:lang w:val="en-US" w:eastAsia="zh-CN"/>
        </w:rPr>
        <w:t>六</w:t>
      </w:r>
      <w:r>
        <w:rPr>
          <w:rFonts w:hint="eastAsia" w:ascii="宋体" w:hAnsi="宋体" w:eastAsia="宋体"/>
          <w:b/>
          <w:color w:val="auto"/>
          <w:sz w:val="22"/>
          <w:highlight w:val="none"/>
        </w:rPr>
        <w:t>条：</w:t>
      </w:r>
      <w:r>
        <w:rPr>
          <w:rFonts w:hint="eastAsia" w:ascii="宋体" w:hAnsi="宋体" w:eastAsia="宋体" w:cs="宋体"/>
          <w:b/>
          <w:color w:val="auto"/>
          <w:sz w:val="22"/>
          <w:highlight w:val="none"/>
        </w:rPr>
        <w:t>付款方式</w:t>
      </w:r>
    </w:p>
    <w:p>
      <w:pPr>
        <w:widowControl/>
        <w:numPr>
          <w:ilvl w:val="0"/>
          <w:numId w:val="35"/>
        </w:numPr>
        <w:autoSpaceDE w:val="0"/>
        <w:autoSpaceDN w:val="0"/>
        <w:adjustRightInd w:val="0"/>
        <w:snapToGrid w:val="0"/>
        <w:spacing w:line="380" w:lineRule="exact"/>
        <w:ind w:left="517" w:leftChars="246"/>
        <w:jc w:val="left"/>
        <w:textAlignment w:val="bottom"/>
        <w:rPr>
          <w:rFonts w:hint="eastAsia" w:ascii="宋体" w:hAnsi="宋体"/>
          <w:color w:val="auto"/>
          <w:sz w:val="22"/>
          <w:highlight w:val="none"/>
          <w:u w:val="single"/>
        </w:rPr>
      </w:pPr>
      <w:r>
        <w:rPr>
          <w:rFonts w:hint="eastAsia" w:ascii="宋体" w:hAnsi="宋体"/>
          <w:color w:val="auto"/>
          <w:sz w:val="22"/>
          <w:highlight w:val="none"/>
          <w:u w:val="single"/>
        </w:rPr>
        <w:t>▲在合同签订前乙方需向</w:t>
      </w:r>
      <w:r>
        <w:rPr>
          <w:rFonts w:hint="eastAsia" w:ascii="宋体" w:hAnsi="宋体"/>
          <w:color w:val="auto"/>
          <w:sz w:val="22"/>
          <w:highlight w:val="none"/>
          <w:u w:val="single"/>
          <w:lang w:val="en-US" w:eastAsia="zh-CN"/>
        </w:rPr>
        <w:t>甲方</w:t>
      </w:r>
      <w:r>
        <w:rPr>
          <w:rFonts w:hint="eastAsia" w:ascii="宋体" w:hAnsi="宋体"/>
          <w:color w:val="auto"/>
          <w:sz w:val="22"/>
          <w:highlight w:val="none"/>
          <w:u w:val="single"/>
        </w:rPr>
        <w:t>提供合同总金额</w:t>
      </w:r>
      <w:r>
        <w:rPr>
          <w:rFonts w:hint="eastAsia" w:ascii="宋体" w:hAnsi="宋体"/>
          <w:color w:val="auto"/>
          <w:sz w:val="22"/>
          <w:highlight w:val="none"/>
          <w:u w:val="single"/>
          <w:lang w:val="en-US" w:eastAsia="zh-CN"/>
        </w:rPr>
        <w:t>2.5</w:t>
      </w:r>
      <w:r>
        <w:rPr>
          <w:rFonts w:hint="eastAsia" w:ascii="宋体" w:hAnsi="宋体"/>
          <w:color w:val="auto"/>
          <w:sz w:val="22"/>
          <w:highlight w:val="none"/>
          <w:u w:val="single"/>
        </w:rPr>
        <w:t>%</w:t>
      </w:r>
      <w:r>
        <w:rPr>
          <w:rFonts w:hint="eastAsia" w:ascii="宋体" w:hAnsi="宋体"/>
          <w:color w:val="auto"/>
          <w:sz w:val="22"/>
          <w:highlight w:val="none"/>
          <w:u w:val="single"/>
          <w:lang w:eastAsia="zh-CN"/>
        </w:rPr>
        <w:t>（计¥：     元）</w:t>
      </w:r>
      <w:r>
        <w:rPr>
          <w:rFonts w:hint="eastAsia" w:ascii="宋体" w:hAnsi="宋体"/>
          <w:color w:val="auto"/>
          <w:sz w:val="22"/>
          <w:highlight w:val="none"/>
          <w:u w:val="single"/>
        </w:rPr>
        <w:t>的履约保证金；乙方提交交付函及验收申请报告3个月内甲方</w:t>
      </w:r>
      <w:r>
        <w:rPr>
          <w:rFonts w:hint="eastAsia" w:ascii="宋体" w:hAnsi="宋体"/>
          <w:color w:val="auto"/>
          <w:sz w:val="22"/>
          <w:highlight w:val="none"/>
          <w:u w:val="single"/>
          <w:lang w:val="en-US" w:eastAsia="zh-CN"/>
        </w:rPr>
        <w:t>组织</w:t>
      </w:r>
      <w:r>
        <w:rPr>
          <w:rFonts w:hint="eastAsia" w:ascii="宋体" w:hAnsi="宋体"/>
          <w:color w:val="auto"/>
          <w:sz w:val="22"/>
          <w:highlight w:val="none"/>
          <w:u w:val="single"/>
        </w:rPr>
        <w:t>验收，验收通过后，履约保证金进行退还。</w:t>
      </w:r>
      <w:r>
        <w:rPr>
          <w:rFonts w:hint="eastAsia" w:ascii="宋体" w:hAnsi="宋体"/>
          <w:color w:val="auto"/>
          <w:sz w:val="22"/>
          <w:highlight w:val="none"/>
          <w:u w:val="single"/>
          <w:lang w:eastAsia="zh-CN"/>
        </w:rPr>
        <w:t>（</w:t>
      </w:r>
      <w:r>
        <w:rPr>
          <w:rFonts w:hint="eastAsia" w:ascii="宋体" w:hAnsi="宋体"/>
          <w:color w:val="auto"/>
          <w:sz w:val="22"/>
          <w:highlight w:val="none"/>
          <w:u w:val="single"/>
          <w:lang w:val="en-US" w:eastAsia="zh-CN"/>
        </w:rPr>
        <w:t>如有第三方验收费用，费用由乙方自行承担</w:t>
      </w:r>
      <w:r>
        <w:rPr>
          <w:rFonts w:hint="eastAsia" w:ascii="宋体" w:hAnsi="宋体"/>
          <w:color w:val="auto"/>
          <w:sz w:val="22"/>
          <w:highlight w:val="none"/>
          <w:u w:val="single"/>
          <w:lang w:eastAsia="zh-CN"/>
        </w:rPr>
        <w:t>）</w:t>
      </w:r>
    </w:p>
    <w:p>
      <w:pPr>
        <w:widowControl/>
        <w:autoSpaceDE w:val="0"/>
        <w:autoSpaceDN w:val="0"/>
        <w:adjustRightInd w:val="0"/>
        <w:snapToGrid w:val="0"/>
        <w:spacing w:line="380" w:lineRule="exact"/>
        <w:ind w:left="517" w:leftChars="246"/>
        <w:jc w:val="left"/>
        <w:textAlignment w:val="bottom"/>
        <w:rPr>
          <w:rFonts w:hint="eastAsia" w:ascii="宋体" w:hAnsi="宋体"/>
          <w:color w:val="auto"/>
          <w:sz w:val="22"/>
          <w:highlight w:val="none"/>
          <w:u w:val="single"/>
        </w:rPr>
      </w:pPr>
      <w:r>
        <w:rPr>
          <w:rFonts w:hint="eastAsia" w:ascii="宋体" w:hAnsi="宋体"/>
          <w:color w:val="auto"/>
          <w:sz w:val="22"/>
          <w:highlight w:val="none"/>
          <w:u w:val="single"/>
        </w:rPr>
        <w:t>2</w:t>
      </w:r>
      <w:r>
        <w:rPr>
          <w:rFonts w:ascii="宋体" w:hAnsi="宋体"/>
          <w:color w:val="auto"/>
          <w:sz w:val="22"/>
          <w:highlight w:val="none"/>
          <w:u w:val="single"/>
        </w:rPr>
        <w:t>.</w:t>
      </w:r>
      <w:r>
        <w:rPr>
          <w:rFonts w:hint="eastAsia" w:ascii="宋体" w:hAnsi="宋体" w:eastAsia="宋体" w:cs="Times New Roman"/>
          <w:color w:val="auto"/>
          <w:sz w:val="22"/>
          <w:highlight w:val="none"/>
          <w:u w:val="single"/>
        </w:rPr>
        <w:t>▲</w:t>
      </w:r>
      <w:r>
        <w:rPr>
          <w:rFonts w:hint="eastAsia" w:ascii="宋体" w:hAnsi="宋体" w:eastAsia="宋体" w:cs="Times New Roman"/>
          <w:color w:val="auto"/>
          <w:sz w:val="22"/>
          <w:highlight w:val="none"/>
          <w:u w:val="single"/>
          <w:lang w:val="en-US" w:eastAsia="zh-CN"/>
        </w:rPr>
        <w:t>乙方第一次完成50%及以上报表</w:t>
      </w:r>
      <w:r>
        <w:rPr>
          <w:rFonts w:hint="eastAsia" w:ascii="宋体" w:hAnsi="宋体" w:cs="Times New Roman"/>
          <w:color w:val="auto"/>
          <w:sz w:val="22"/>
          <w:highlight w:val="none"/>
          <w:u w:val="single"/>
          <w:lang w:val="en-US" w:eastAsia="zh-CN"/>
        </w:rPr>
        <w:t>（总计约100张报表）</w:t>
      </w:r>
      <w:r>
        <w:rPr>
          <w:rFonts w:hint="eastAsia" w:ascii="宋体" w:hAnsi="宋体" w:eastAsia="宋体" w:cs="Times New Roman"/>
          <w:color w:val="auto"/>
          <w:sz w:val="22"/>
          <w:highlight w:val="none"/>
          <w:u w:val="single"/>
          <w:lang w:val="en-US" w:eastAsia="zh-CN"/>
        </w:rPr>
        <w:t>，甲方向乙方支付合同价款的50%；全部完成后，甲方向乙方支付剩余的50%合同价款。</w:t>
      </w:r>
      <w:r>
        <w:rPr>
          <w:rFonts w:hint="eastAsia" w:ascii="宋体" w:hAnsi="宋体" w:eastAsia="宋体"/>
          <w:color w:val="auto"/>
          <w:sz w:val="22"/>
          <w:highlight w:val="none"/>
          <w:u w:val="single"/>
        </w:rPr>
        <w:t>（</w:t>
      </w:r>
      <w:r>
        <w:rPr>
          <w:rFonts w:hint="eastAsia" w:ascii="宋体" w:hAnsi="宋体" w:eastAsia="宋体"/>
          <w:color w:val="auto"/>
          <w:sz w:val="22"/>
          <w:highlight w:val="none"/>
          <w:u w:val="single"/>
          <w:lang w:val="en-US" w:eastAsia="zh-CN"/>
        </w:rPr>
        <w:t>乙方</w:t>
      </w:r>
      <w:r>
        <w:rPr>
          <w:rFonts w:hint="eastAsia" w:ascii="宋体" w:hAnsi="宋体" w:eastAsia="宋体"/>
          <w:color w:val="auto"/>
          <w:sz w:val="22"/>
          <w:highlight w:val="none"/>
          <w:u w:val="single"/>
        </w:rPr>
        <w:t>需</w:t>
      </w:r>
      <w:r>
        <w:rPr>
          <w:rFonts w:hint="eastAsia" w:ascii="宋体" w:hAnsi="宋体"/>
          <w:color w:val="auto"/>
          <w:sz w:val="22"/>
          <w:highlight w:val="none"/>
          <w:u w:val="single"/>
          <w:lang w:val="en-US" w:eastAsia="zh-CN"/>
        </w:rPr>
        <w:t>提前</w:t>
      </w:r>
      <w:r>
        <w:rPr>
          <w:rFonts w:hint="eastAsia" w:ascii="宋体" w:hAnsi="宋体" w:eastAsia="宋体"/>
          <w:color w:val="auto"/>
          <w:sz w:val="22"/>
          <w:highlight w:val="none"/>
          <w:u w:val="single"/>
        </w:rPr>
        <w:t>开具</w:t>
      </w:r>
      <w:r>
        <w:rPr>
          <w:rFonts w:hint="eastAsia" w:ascii="宋体" w:hAnsi="宋体" w:eastAsia="宋体"/>
          <w:color w:val="auto"/>
          <w:sz w:val="22"/>
          <w:highlight w:val="none"/>
          <w:u w:val="single"/>
          <w:lang w:val="en-US" w:eastAsia="zh-CN"/>
        </w:rPr>
        <w:t>相对应金额的</w:t>
      </w:r>
      <w:r>
        <w:rPr>
          <w:rFonts w:hint="eastAsia" w:ascii="宋体" w:hAnsi="宋体"/>
          <w:color w:val="auto"/>
          <w:sz w:val="22"/>
          <w:highlight w:val="none"/>
          <w:u w:val="single"/>
          <w:lang w:val="en-US" w:eastAsia="zh-CN"/>
        </w:rPr>
        <w:t>增值税普通发票</w:t>
      </w:r>
      <w:r>
        <w:rPr>
          <w:rFonts w:hint="eastAsia" w:ascii="宋体" w:hAnsi="宋体" w:eastAsia="宋体"/>
          <w:color w:val="auto"/>
          <w:sz w:val="22"/>
          <w:highlight w:val="none"/>
          <w:u w:val="single"/>
        </w:rPr>
        <w:t>）</w:t>
      </w:r>
      <w:r>
        <w:rPr>
          <w:rFonts w:hint="eastAsia" w:ascii="宋体" w:hAnsi="宋体"/>
          <w:color w:val="auto"/>
          <w:sz w:val="22"/>
          <w:highlight w:val="none"/>
          <w:u w:val="single"/>
        </w:rPr>
        <w:t>。</w:t>
      </w:r>
    </w:p>
    <w:p>
      <w:pPr>
        <w:pStyle w:val="20"/>
        <w:snapToGrid w:val="0"/>
        <w:spacing w:line="400" w:lineRule="atLeast"/>
        <w:ind w:left="420" w:leftChars="200" w:firstLine="220" w:firstLineChars="100"/>
        <w:rPr>
          <w:rFonts w:hint="eastAsia" w:ascii="宋体" w:hAnsi="宋体" w:eastAsia="宋体"/>
          <w:b/>
          <w:color w:val="auto"/>
          <w:sz w:val="22"/>
          <w:szCs w:val="22"/>
          <w:highlight w:val="none"/>
          <w:u w:val="single"/>
        </w:rPr>
      </w:pPr>
      <w:r>
        <w:rPr>
          <w:rFonts w:hint="eastAsia" w:ascii="宋体" w:hAnsi="宋体" w:eastAsia="宋体" w:cs="Times New Roman"/>
          <w:color w:val="auto"/>
          <w:sz w:val="22"/>
          <w:highlight w:val="none"/>
          <w:u w:val="none"/>
        </w:rPr>
        <w:t>3.</w:t>
      </w:r>
      <w:r>
        <w:rPr>
          <w:rFonts w:hint="eastAsia" w:ascii="宋体" w:hAnsi="宋体"/>
          <w:color w:val="auto"/>
          <w:sz w:val="22"/>
          <w:highlight w:val="none"/>
        </w:rPr>
        <w:t>乙方未按采购文件要求或其投标文件承诺提供服务；项目部署上线验收不合格，甲方有权扣罚全部履约保证金，并上报财政部门列入不良行为记录名单</w:t>
      </w:r>
      <w:r>
        <w:rPr>
          <w:rFonts w:hint="eastAsia" w:ascii="宋体" w:hAnsi="宋体" w:eastAsia="宋体"/>
          <w:color w:val="auto"/>
          <w:sz w:val="22"/>
          <w:highlight w:val="none"/>
          <w:u w:val="none"/>
        </w:rPr>
        <w:t>。</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第</w:t>
      </w:r>
      <w:r>
        <w:rPr>
          <w:rFonts w:hint="eastAsia" w:ascii="宋体" w:hAnsi="宋体"/>
          <w:b/>
          <w:color w:val="auto"/>
          <w:sz w:val="22"/>
          <w:highlight w:val="none"/>
          <w:lang w:val="en-US" w:eastAsia="zh-CN"/>
        </w:rPr>
        <w:t>七</w:t>
      </w:r>
      <w:r>
        <w:rPr>
          <w:rFonts w:hint="eastAsia" w:ascii="宋体" w:hAnsi="宋体"/>
          <w:b/>
          <w:color w:val="auto"/>
          <w:sz w:val="22"/>
          <w:highlight w:val="none"/>
        </w:rPr>
        <w:t>条：不可抗力</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 xml:space="preserve">    1、如果合同各方因不可抗力而导致合同实施延误或不能履行合同义务的话，不应该承担误期赔偿或不能履行合同义务的责任。</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 xml:space="preserve">    2、本条所述的“不可抗力”系指那些双方不可预见、不可避免、不可克服的事件，但不包括双方的违约或疏忽。这些事件包括但不限于：战争、严重火灾、洪水、梅雨、台风、地震、国家政策的重大变化，以及双方商定的其他事件。</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 xml:space="preserve">    3、在不可抗力事件发生后，当事方应尽快以书面形式将不可抗力的情况和原因通知对方。合同各方应尽可能继续履行合同义务，并积极寻求采取合理的措施履行不受不可抗力影响的其他事项。合同各方应通过友好协商在合理的时间内达成进一步履行合同。</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第</w:t>
      </w:r>
      <w:r>
        <w:rPr>
          <w:rFonts w:hint="eastAsia" w:hAnsi="宋体"/>
          <w:b/>
          <w:color w:val="auto"/>
          <w:sz w:val="22"/>
          <w:highlight w:val="none"/>
          <w:lang w:val="en-US" w:eastAsia="zh-CN"/>
        </w:rPr>
        <w:t>八</w:t>
      </w:r>
      <w:r>
        <w:rPr>
          <w:rFonts w:hint="eastAsia" w:ascii="宋体" w:hAnsi="宋体" w:eastAsia="宋体"/>
          <w:b/>
          <w:color w:val="auto"/>
          <w:sz w:val="22"/>
          <w:highlight w:val="none"/>
        </w:rPr>
        <w:t>条：争议的解决</w:t>
      </w:r>
    </w:p>
    <w:p>
      <w:pPr>
        <w:snapToGrid w:val="0"/>
        <w:spacing w:line="440" w:lineRule="atLeast"/>
        <w:ind w:firstLine="440" w:firstLineChars="200"/>
        <w:rPr>
          <w:rFonts w:ascii="宋体" w:hAnsi="宋体" w:cs="Arial"/>
          <w:color w:val="auto"/>
          <w:sz w:val="22"/>
          <w:highlight w:val="none"/>
        </w:rPr>
      </w:pPr>
      <w:r>
        <w:rPr>
          <w:rFonts w:hint="eastAsia" w:ascii="宋体" w:hAnsi="宋体" w:cs="Arial"/>
          <w:color w:val="auto"/>
          <w:sz w:val="22"/>
          <w:highlight w:val="none"/>
        </w:rPr>
        <w:t>合同实施或与合同有关的一切争端，双方应首先通过友好协商或调解解决。若协商或调解不成，双方约定：任何一方可向甲方所在地人民法院申请诉讼。</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第</w:t>
      </w:r>
      <w:r>
        <w:rPr>
          <w:rFonts w:hint="eastAsia" w:ascii="宋体" w:hAnsi="宋体"/>
          <w:b/>
          <w:color w:val="auto"/>
          <w:sz w:val="22"/>
          <w:highlight w:val="none"/>
          <w:lang w:val="en-US" w:eastAsia="zh-CN"/>
        </w:rPr>
        <w:t>九</w:t>
      </w:r>
      <w:r>
        <w:rPr>
          <w:rFonts w:hint="eastAsia" w:ascii="宋体" w:hAnsi="宋体"/>
          <w:b/>
          <w:color w:val="auto"/>
          <w:sz w:val="22"/>
          <w:highlight w:val="none"/>
        </w:rPr>
        <w:t>条：合同转让和分包</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 xml:space="preserve">    除采购人事先书面同意外，中标供应商不得转让和分包其应履行的合同义务。</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第十条：合同生效</w:t>
      </w:r>
    </w:p>
    <w:p>
      <w:pPr>
        <w:pStyle w:val="20"/>
        <w:snapToGrid w:val="0"/>
        <w:spacing w:line="440" w:lineRule="atLeast"/>
        <w:ind w:firstLine="480"/>
        <w:rPr>
          <w:rFonts w:hint="eastAsia" w:ascii="宋体" w:hAnsi="宋体" w:eastAsia="宋体"/>
          <w:color w:val="auto"/>
          <w:sz w:val="22"/>
          <w:highlight w:val="none"/>
        </w:rPr>
      </w:pPr>
      <w:r>
        <w:rPr>
          <w:rFonts w:hint="eastAsia" w:ascii="宋体" w:hAnsi="宋体" w:eastAsia="宋体" w:cs="Arial"/>
          <w:color w:val="auto"/>
          <w:sz w:val="22"/>
          <w:highlight w:val="none"/>
        </w:rPr>
        <w:t>合同应在</w:t>
      </w:r>
      <w:r>
        <w:rPr>
          <w:rFonts w:hint="eastAsia" w:ascii="宋体" w:hAnsi="宋体" w:eastAsia="宋体"/>
          <w:color w:val="auto"/>
          <w:sz w:val="22"/>
          <w:highlight w:val="none"/>
        </w:rPr>
        <w:t>双方法定代表人或授权代表签署并加盖印章后生效。</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第十</w:t>
      </w:r>
      <w:r>
        <w:rPr>
          <w:rFonts w:hint="eastAsia" w:ascii="宋体" w:hAnsi="宋体"/>
          <w:b/>
          <w:color w:val="auto"/>
          <w:sz w:val="22"/>
          <w:highlight w:val="none"/>
          <w:lang w:val="en-US" w:eastAsia="zh-CN"/>
        </w:rPr>
        <w:t>一</w:t>
      </w:r>
      <w:r>
        <w:rPr>
          <w:rFonts w:hint="eastAsia" w:ascii="宋体" w:hAnsi="宋体"/>
          <w:b/>
          <w:color w:val="auto"/>
          <w:sz w:val="22"/>
          <w:highlight w:val="none"/>
        </w:rPr>
        <w:t>条：合同修改</w:t>
      </w:r>
    </w:p>
    <w:p>
      <w:pPr>
        <w:snapToGrid w:val="0"/>
        <w:spacing w:line="440" w:lineRule="atLeast"/>
        <w:ind w:firstLine="480"/>
        <w:rPr>
          <w:rFonts w:hint="eastAsia" w:ascii="宋体" w:hAnsi="宋体"/>
          <w:b/>
          <w:color w:val="auto"/>
          <w:sz w:val="22"/>
          <w:highlight w:val="none"/>
        </w:rPr>
      </w:pPr>
      <w:r>
        <w:rPr>
          <w:rFonts w:hint="eastAsia" w:ascii="宋体" w:hAnsi="宋体"/>
          <w:b/>
          <w:color w:val="auto"/>
          <w:sz w:val="22"/>
          <w:highlight w:val="none"/>
        </w:rPr>
        <w:t>除了双方签署书面修改合同，并成为本合同不可分割的一部分之外，本合同条件不得有任何变化或修改。</w:t>
      </w:r>
    </w:p>
    <w:p>
      <w:pPr>
        <w:pStyle w:val="20"/>
        <w:snapToGrid w:val="0"/>
        <w:spacing w:line="440" w:lineRule="atLeast"/>
        <w:rPr>
          <w:rFonts w:hint="eastAsia" w:ascii="宋体" w:hAnsi="宋体" w:eastAsia="宋体"/>
          <w:b/>
          <w:color w:val="auto"/>
          <w:sz w:val="22"/>
          <w:highlight w:val="none"/>
        </w:rPr>
      </w:pPr>
      <w:r>
        <w:rPr>
          <w:rFonts w:hint="eastAsia" w:ascii="宋体" w:hAnsi="宋体" w:eastAsia="宋体"/>
          <w:b/>
          <w:color w:val="auto"/>
          <w:sz w:val="22"/>
          <w:highlight w:val="none"/>
        </w:rPr>
        <w:t>第</w:t>
      </w:r>
      <w:r>
        <w:rPr>
          <w:rFonts w:hint="eastAsia" w:ascii="宋体" w:hAnsi="宋体" w:eastAsia="宋体" w:cs="宋体"/>
          <w:b/>
          <w:color w:val="auto"/>
          <w:sz w:val="22"/>
          <w:highlight w:val="none"/>
        </w:rPr>
        <w:t>十</w:t>
      </w:r>
      <w:r>
        <w:rPr>
          <w:rFonts w:hint="eastAsia" w:hAnsi="宋体" w:cs="宋体"/>
          <w:b/>
          <w:color w:val="auto"/>
          <w:sz w:val="22"/>
          <w:highlight w:val="none"/>
          <w:lang w:val="en-US" w:eastAsia="zh-CN"/>
        </w:rPr>
        <w:t>二</w:t>
      </w:r>
      <w:r>
        <w:rPr>
          <w:rFonts w:hint="eastAsia" w:ascii="宋体" w:hAnsi="宋体" w:eastAsia="宋体"/>
          <w:b/>
          <w:color w:val="auto"/>
          <w:sz w:val="22"/>
          <w:highlight w:val="none"/>
        </w:rPr>
        <w:t>条 合同附件</w:t>
      </w:r>
    </w:p>
    <w:p>
      <w:pPr>
        <w:snapToGrid w:val="0"/>
        <w:spacing w:line="440" w:lineRule="atLeast"/>
        <w:rPr>
          <w:rFonts w:hint="eastAsia" w:ascii="宋体" w:hAnsi="宋体"/>
          <w:b/>
          <w:color w:val="auto"/>
          <w:sz w:val="22"/>
          <w:highlight w:val="none"/>
        </w:rPr>
      </w:pPr>
      <w:r>
        <w:rPr>
          <w:rFonts w:hint="eastAsia" w:ascii="宋体" w:hAnsi="宋体"/>
          <w:b/>
          <w:color w:val="auto"/>
          <w:sz w:val="22"/>
          <w:highlight w:val="none"/>
        </w:rPr>
        <w:t xml:space="preserve">    下列文件与本合同具有同等法律效力：</w:t>
      </w:r>
    </w:p>
    <w:p>
      <w:pPr>
        <w:snapToGrid w:val="0"/>
        <w:spacing w:line="440" w:lineRule="atLeast"/>
        <w:ind w:firstLine="433" w:firstLineChars="196"/>
        <w:rPr>
          <w:rFonts w:hint="eastAsia" w:ascii="宋体" w:hAnsi="宋体"/>
          <w:b/>
          <w:color w:val="auto"/>
          <w:sz w:val="22"/>
          <w:highlight w:val="none"/>
        </w:rPr>
      </w:pPr>
      <w:r>
        <w:rPr>
          <w:rFonts w:hint="eastAsia" w:ascii="宋体" w:hAnsi="宋体"/>
          <w:b/>
          <w:color w:val="auto"/>
          <w:sz w:val="22"/>
          <w:highlight w:val="none"/>
        </w:rPr>
        <w:t>1、采购人的招标文件与招标补充文件；</w:t>
      </w:r>
    </w:p>
    <w:p>
      <w:pPr>
        <w:snapToGrid w:val="0"/>
        <w:spacing w:line="440" w:lineRule="atLeast"/>
        <w:ind w:firstLine="433" w:firstLineChars="196"/>
        <w:rPr>
          <w:rFonts w:hint="eastAsia" w:ascii="宋体" w:hAnsi="宋体"/>
          <w:b/>
          <w:color w:val="auto"/>
          <w:sz w:val="22"/>
          <w:highlight w:val="none"/>
        </w:rPr>
      </w:pPr>
      <w:r>
        <w:rPr>
          <w:rFonts w:hint="eastAsia" w:ascii="宋体" w:hAnsi="宋体"/>
          <w:b/>
          <w:color w:val="auto"/>
          <w:sz w:val="22"/>
          <w:highlight w:val="none"/>
        </w:rPr>
        <w:t>2、中标供应商投标文件；</w:t>
      </w:r>
    </w:p>
    <w:p>
      <w:pPr>
        <w:snapToGrid w:val="0"/>
        <w:spacing w:line="440" w:lineRule="atLeast"/>
        <w:ind w:firstLine="433" w:firstLineChars="196"/>
        <w:rPr>
          <w:rFonts w:hint="eastAsia" w:ascii="宋体" w:hAnsi="宋体"/>
          <w:b/>
          <w:color w:val="auto"/>
          <w:sz w:val="22"/>
          <w:highlight w:val="none"/>
        </w:rPr>
      </w:pPr>
      <w:r>
        <w:rPr>
          <w:rFonts w:hint="eastAsia" w:ascii="宋体" w:hAnsi="宋体"/>
          <w:b/>
          <w:color w:val="auto"/>
          <w:sz w:val="22"/>
          <w:highlight w:val="none"/>
        </w:rPr>
        <w:t>3、询标纪要和承诺书</w:t>
      </w:r>
      <w:r>
        <w:rPr>
          <w:rFonts w:hint="eastAsia" w:ascii="宋体" w:hAnsi="宋体"/>
          <w:b/>
          <w:color w:val="auto"/>
          <w:sz w:val="22"/>
          <w:highlight w:val="none"/>
          <w:lang w:eastAsia="zh-CN"/>
        </w:rPr>
        <w:t>（</w:t>
      </w:r>
      <w:r>
        <w:rPr>
          <w:rFonts w:hint="eastAsia" w:ascii="宋体" w:hAnsi="宋体"/>
          <w:b/>
          <w:color w:val="auto"/>
          <w:sz w:val="22"/>
          <w:highlight w:val="none"/>
          <w:lang w:val="en-US" w:eastAsia="zh-CN"/>
        </w:rPr>
        <w:t>如有</w:t>
      </w:r>
      <w:r>
        <w:rPr>
          <w:rFonts w:hint="eastAsia" w:ascii="宋体" w:hAnsi="宋体"/>
          <w:b/>
          <w:color w:val="auto"/>
          <w:sz w:val="22"/>
          <w:highlight w:val="none"/>
          <w:lang w:eastAsia="zh-CN"/>
        </w:rPr>
        <w:t>）</w:t>
      </w:r>
      <w:r>
        <w:rPr>
          <w:rFonts w:hint="eastAsia" w:ascii="宋体" w:hAnsi="宋体"/>
          <w:b/>
          <w:color w:val="auto"/>
          <w:sz w:val="22"/>
          <w:highlight w:val="none"/>
        </w:rPr>
        <w:t>；</w:t>
      </w:r>
    </w:p>
    <w:p>
      <w:pPr>
        <w:snapToGrid w:val="0"/>
        <w:spacing w:line="440" w:lineRule="atLeast"/>
        <w:ind w:firstLine="433" w:firstLineChars="196"/>
        <w:rPr>
          <w:rFonts w:hint="eastAsia" w:ascii="宋体" w:hAnsi="宋体"/>
          <w:b/>
          <w:color w:val="auto"/>
          <w:sz w:val="22"/>
          <w:highlight w:val="none"/>
        </w:rPr>
      </w:pPr>
      <w:r>
        <w:rPr>
          <w:rFonts w:hint="eastAsia" w:ascii="宋体" w:hAnsi="宋体"/>
          <w:b/>
          <w:color w:val="auto"/>
          <w:sz w:val="22"/>
          <w:highlight w:val="none"/>
        </w:rPr>
        <w:t>4、中标通知书。</w:t>
      </w:r>
    </w:p>
    <w:p>
      <w:pPr>
        <w:rPr>
          <w:color w:val="auto"/>
          <w:highlight w:val="none"/>
        </w:rPr>
      </w:pP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922"/>
        <w:gridCol w:w="46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922" w:type="dxa"/>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甲方</w:t>
            </w:r>
          </w:p>
        </w:tc>
        <w:tc>
          <w:tcPr>
            <w:tcW w:w="4697" w:type="dxa"/>
            <w:vAlign w:val="center"/>
          </w:tcPr>
          <w:p>
            <w:pPr>
              <w:jc w:val="center"/>
              <w:rPr>
                <w:rFonts w:ascii="宋体" w:hAnsi="宋体" w:cs="宋体"/>
                <w:b/>
                <w:bCs/>
                <w:color w:val="auto"/>
                <w:sz w:val="22"/>
                <w:szCs w:val="22"/>
                <w:highlight w:val="none"/>
              </w:rPr>
            </w:pPr>
            <w:r>
              <w:rPr>
                <w:rFonts w:hint="eastAsia" w:ascii="宋体" w:hAnsi="宋体" w:cs="宋体"/>
                <w:b/>
                <w:bCs/>
                <w:color w:val="auto"/>
                <w:sz w:val="22"/>
                <w:szCs w:val="22"/>
                <w:highlight w:val="none"/>
              </w:rPr>
              <w:t>乙方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单位名称：浙江东方职业技术学院</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单位名称：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37"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单位地址：温州经济技术开发区金海三道433号</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单位地址：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法人代表或授权代表：</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法人代表或授权代表：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电话：0577-86561078</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27"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开户银行：中国银行温州市分行南城支行</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开户银行：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31"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账号：397469008964</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账号：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纳税人识别号：123303004728740058</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纳税人识别号：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77" w:hRule="atLeast"/>
          <w:jc w:val="center"/>
        </w:trPr>
        <w:tc>
          <w:tcPr>
            <w:tcW w:w="4922"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签订时间：</w:t>
            </w:r>
          </w:p>
        </w:tc>
        <w:tc>
          <w:tcPr>
            <w:tcW w:w="4697" w:type="dxa"/>
            <w:vAlign w:val="center"/>
          </w:tcPr>
          <w:p>
            <w:pPr>
              <w:rPr>
                <w:rFonts w:ascii="宋体" w:hAnsi="宋体" w:cs="宋体"/>
                <w:b/>
                <w:bCs/>
                <w:color w:val="auto"/>
                <w:sz w:val="22"/>
                <w:szCs w:val="22"/>
                <w:highlight w:val="none"/>
              </w:rPr>
            </w:pPr>
            <w:r>
              <w:rPr>
                <w:rFonts w:hint="eastAsia" w:ascii="宋体" w:hAnsi="宋体" w:cs="宋体"/>
                <w:b/>
                <w:bCs/>
                <w:color w:val="auto"/>
                <w:sz w:val="22"/>
                <w:szCs w:val="22"/>
                <w:highlight w:val="none"/>
              </w:rPr>
              <w:t>签订时间：</w:t>
            </w:r>
          </w:p>
        </w:tc>
      </w:tr>
    </w:tbl>
    <w:p>
      <w:pPr>
        <w:pStyle w:val="17"/>
        <w:ind w:firstLine="210"/>
        <w:rPr>
          <w:color w:val="auto"/>
          <w:highlight w:val="none"/>
        </w:rPr>
      </w:pPr>
    </w:p>
    <w:p>
      <w:pPr>
        <w:pStyle w:val="17"/>
        <w:ind w:firstLine="210"/>
        <w:jc w:val="center"/>
        <w:rPr>
          <w:rFonts w:ascii="宋体" w:hAnsi="宋体" w:cs="宋体"/>
          <w:color w:val="auto"/>
          <w:highlight w:val="none"/>
        </w:rPr>
      </w:pPr>
    </w:p>
    <w:p>
      <w:pPr>
        <w:pStyle w:val="4"/>
        <w:spacing w:line="440" w:lineRule="exact"/>
        <w:rPr>
          <w:rFonts w:ascii="宋体" w:hAnsi="宋体" w:eastAsia="宋体" w:cs="宋体"/>
          <w:color w:val="auto"/>
          <w:sz w:val="36"/>
          <w:szCs w:val="36"/>
          <w:highlight w:val="none"/>
        </w:rPr>
      </w:pPr>
      <w:bookmarkStart w:id="174" w:name="_Toc262105511"/>
      <w:bookmarkStart w:id="175" w:name="_Toc262049426"/>
      <w:bookmarkStart w:id="176" w:name="_Toc223716005"/>
      <w:bookmarkStart w:id="177" w:name="_Toc245722288"/>
      <w:bookmarkStart w:id="178" w:name="_Toc239145361"/>
      <w:bookmarkStart w:id="179" w:name="_Toc221356960"/>
      <w:bookmarkStart w:id="180" w:name="_Toc245191321"/>
      <w:bookmarkStart w:id="181" w:name="_Toc221374633"/>
      <w:bookmarkStart w:id="182" w:name="_Toc246261272"/>
      <w:bookmarkStart w:id="183" w:name="_Toc222114886"/>
      <w:bookmarkStart w:id="184" w:name="_Toc249758872"/>
      <w:bookmarkStart w:id="185" w:name="_Toc249758722"/>
      <w:bookmarkStart w:id="186" w:name="_Toc221356897"/>
      <w:bookmarkStart w:id="187" w:name="_Toc221423626"/>
      <w:bookmarkStart w:id="188" w:name="_Toc241404209"/>
      <w:r>
        <w:rPr>
          <w:rFonts w:hint="eastAsia" w:ascii="宋体" w:hAnsi="宋体" w:eastAsia="宋体" w:cs="宋体"/>
          <w:color w:val="auto"/>
          <w:sz w:val="36"/>
          <w:szCs w:val="36"/>
          <w:highlight w:val="none"/>
        </w:rPr>
        <w:br w:type="page"/>
      </w:r>
      <w:bookmarkStart w:id="189" w:name="_Toc8971"/>
      <w:r>
        <w:rPr>
          <w:rFonts w:hint="eastAsia" w:ascii="宋体" w:hAnsi="宋体" w:eastAsia="宋体" w:cs="宋体"/>
          <w:color w:val="auto"/>
          <w:sz w:val="36"/>
          <w:szCs w:val="36"/>
          <w:highlight w:val="none"/>
        </w:rPr>
        <w:t xml:space="preserve">第五部分   </w:t>
      </w:r>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r>
        <w:rPr>
          <w:rFonts w:hint="eastAsia" w:ascii="宋体" w:hAnsi="宋体" w:eastAsia="宋体" w:cs="宋体"/>
          <w:color w:val="auto"/>
          <w:sz w:val="36"/>
          <w:szCs w:val="36"/>
          <w:highlight w:val="none"/>
        </w:rPr>
        <w:t>附件</w:t>
      </w:r>
      <w:bookmarkEnd w:id="189"/>
    </w:p>
    <w:p>
      <w:pPr>
        <w:spacing w:line="460" w:lineRule="exact"/>
        <w:rPr>
          <w:rFonts w:ascii="宋体" w:hAnsi="宋体" w:cs="宋体"/>
          <w:b/>
          <w:bCs/>
          <w:color w:val="auto"/>
          <w:sz w:val="22"/>
          <w:szCs w:val="22"/>
          <w:highlight w:val="none"/>
        </w:rPr>
      </w:pPr>
      <w:r>
        <w:rPr>
          <w:rFonts w:hint="eastAsia" w:ascii="宋体" w:hAnsi="宋体" w:cs="宋体"/>
          <w:b/>
          <w:bCs/>
          <w:color w:val="auto"/>
          <w:sz w:val="22"/>
          <w:szCs w:val="22"/>
          <w:highlight w:val="none"/>
        </w:rPr>
        <w:t>附件一</w:t>
      </w:r>
    </w:p>
    <w:p>
      <w:pPr>
        <w:spacing w:line="38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资格文件</w:t>
      </w:r>
    </w:p>
    <w:p>
      <w:pPr>
        <w:spacing w:line="38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（1-1）法定代表人声明书</w:t>
      </w:r>
    </w:p>
    <w:p>
      <w:pPr>
        <w:spacing w:line="400" w:lineRule="exact"/>
        <w:rPr>
          <w:rFonts w:ascii="宋体" w:hAnsi="宋体" w:cs="宋体"/>
          <w:color w:val="auto"/>
          <w:highlight w:val="none"/>
        </w:rPr>
      </w:pP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浙江东方职业技术学院：</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w:t>
      </w:r>
    </w:p>
    <w:p>
      <w:pPr>
        <w:spacing w:line="460" w:lineRule="exact"/>
        <w:rPr>
          <w:rFonts w:ascii="宋体" w:hAnsi="宋体" w:cs="宋体"/>
          <w:color w:val="auto"/>
          <w:sz w:val="22"/>
          <w:szCs w:val="22"/>
          <w:highlight w:val="none"/>
          <w:u w:val="single"/>
        </w:rPr>
      </w:pP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rPr>
        <w:t>本人</w:t>
      </w:r>
      <w:r>
        <w:rPr>
          <w:rFonts w:hint="eastAsia" w:ascii="宋体" w:hAnsi="宋体" w:cs="宋体"/>
          <w:color w:val="auto"/>
          <w:sz w:val="22"/>
          <w:szCs w:val="22"/>
          <w:highlight w:val="none"/>
          <w:u w:val="single"/>
        </w:rPr>
        <w:t>（法定代表人姓名）</w:t>
      </w:r>
      <w:r>
        <w:rPr>
          <w:rFonts w:hint="eastAsia" w:ascii="宋体" w:hAnsi="宋体" w:cs="宋体"/>
          <w:color w:val="auto"/>
          <w:sz w:val="22"/>
          <w:szCs w:val="22"/>
          <w:highlight w:val="none"/>
        </w:rPr>
        <w:t>为</w:t>
      </w:r>
      <w:r>
        <w:rPr>
          <w:rFonts w:hint="eastAsia" w:ascii="宋体" w:hAnsi="宋体" w:cs="宋体"/>
          <w:color w:val="auto"/>
          <w:sz w:val="22"/>
          <w:szCs w:val="22"/>
          <w:highlight w:val="none"/>
          <w:u w:val="single"/>
        </w:rPr>
        <w:t>（投标人全称）</w:t>
      </w:r>
      <w:r>
        <w:rPr>
          <w:rFonts w:hint="eastAsia" w:ascii="宋体" w:hAnsi="宋体" w:cs="宋体"/>
          <w:color w:val="auto"/>
          <w:sz w:val="22"/>
          <w:szCs w:val="22"/>
          <w:highlight w:val="none"/>
        </w:rPr>
        <w:t>的法定代表人。我公司参加贵单位组织的</w:t>
      </w:r>
      <w:r>
        <w:rPr>
          <w:rFonts w:hint="eastAsia" w:ascii="宋体" w:hAnsi="宋体" w:cs="宋体"/>
          <w:color w:val="auto"/>
          <w:sz w:val="22"/>
          <w:szCs w:val="22"/>
          <w:highlight w:val="none"/>
          <w:u w:val="single"/>
        </w:rPr>
        <w:t>（采购项目、采购编号）</w:t>
      </w:r>
      <w:r>
        <w:rPr>
          <w:rFonts w:hint="eastAsia" w:ascii="宋体" w:hAnsi="宋体" w:cs="宋体"/>
          <w:color w:val="auto"/>
          <w:sz w:val="22"/>
          <w:szCs w:val="22"/>
          <w:highlight w:val="none"/>
        </w:rPr>
        <w:t>的采购活动，由我本人全权代表我方处理采购活动中的一切事宜。联系方式如下：</w:t>
      </w:r>
      <w:r>
        <w:rPr>
          <w:rFonts w:hint="eastAsia" w:ascii="宋体" w:hAnsi="宋体" w:cs="宋体"/>
          <w:color w:val="auto"/>
          <w:sz w:val="22"/>
          <w:szCs w:val="22"/>
          <w:highlight w:val="none"/>
          <w:u w:val="single"/>
        </w:rPr>
        <w:t xml:space="preserve">手机号码：       联系邮箱:         详细通讯地址：             </w:t>
      </w:r>
      <w:r>
        <w:rPr>
          <w:rFonts w:hint="eastAsia" w:ascii="宋体" w:hAnsi="宋体" w:cs="宋体"/>
          <w:color w:val="auto"/>
          <w:sz w:val="22"/>
          <w:szCs w:val="22"/>
          <w:highlight w:val="none"/>
        </w:rPr>
        <w:t xml:space="preserve"> 。  </w:t>
      </w: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00" w:lineRule="exact"/>
        <w:rPr>
          <w:rFonts w:ascii="宋体" w:hAnsi="宋体" w:cs="宋体"/>
          <w:color w:val="auto"/>
          <w:highlight w:val="none"/>
        </w:rPr>
      </w:pPr>
    </w:p>
    <w:p>
      <w:pPr>
        <w:spacing w:line="460" w:lineRule="exact"/>
        <w:ind w:firstLine="3971" w:firstLineChars="180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投标人名称（盖章）：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spacing w:line="460" w:lineRule="exact"/>
        <w:rPr>
          <w:rFonts w:ascii="宋体" w:hAnsi="宋体" w:cs="宋体"/>
          <w:color w:val="auto"/>
          <w:sz w:val="22"/>
          <w:szCs w:val="22"/>
          <w:highlight w:val="none"/>
        </w:rPr>
      </w:pPr>
    </w:p>
    <w:p>
      <w:pPr>
        <w:widowControl/>
        <w:jc w:val="left"/>
        <w:rPr>
          <w:rFonts w:ascii="宋体" w:hAnsi="宋体" w:cs="宋体"/>
          <w:color w:val="auto"/>
          <w:szCs w:val="21"/>
          <w:highlight w:val="none"/>
        </w:rPr>
      </w:pPr>
    </w:p>
    <w:p>
      <w:pPr>
        <w:widowControl/>
        <w:jc w:val="left"/>
        <w:rPr>
          <w:rFonts w:ascii="宋体" w:hAnsi="宋体" w:cs="宋体"/>
          <w:color w:val="auto"/>
          <w:szCs w:val="21"/>
          <w:highlight w:val="none"/>
        </w:rPr>
      </w:pPr>
    </w:p>
    <w:p>
      <w:pPr>
        <w:widowControl/>
        <w:jc w:val="left"/>
        <w:rPr>
          <w:rFonts w:ascii="宋体" w:hAnsi="宋体" w:cs="宋体"/>
          <w:color w:val="auto"/>
          <w:szCs w:val="21"/>
          <w:highlight w:val="none"/>
        </w:rPr>
      </w:pPr>
      <w:r>
        <w:rPr>
          <w:rFonts w:hint="eastAsia" w:ascii="宋体" w:hAnsi="宋体" w:cs="宋体"/>
          <w:b/>
          <w:color w:val="auto"/>
          <w:sz w:val="22"/>
          <w:szCs w:val="22"/>
          <w:highlight w:val="none"/>
        </w:rPr>
        <w:t>附：法定代表人身份证正反面复印件</w:t>
      </w:r>
      <w:r>
        <w:rPr>
          <w:rFonts w:hint="eastAsia" w:ascii="宋体" w:hAnsi="宋体" w:cs="宋体"/>
          <w:color w:val="auto"/>
          <w:szCs w:val="21"/>
          <w:highlight w:val="none"/>
        </w:rPr>
        <w:br w:type="page"/>
      </w:r>
    </w:p>
    <w:p>
      <w:pPr>
        <w:spacing w:line="380" w:lineRule="exact"/>
        <w:jc w:val="center"/>
        <w:rPr>
          <w:rFonts w:ascii="宋体" w:hAnsi="宋体" w:cs="宋体"/>
          <w:b/>
          <w:color w:val="auto"/>
          <w:sz w:val="22"/>
          <w:szCs w:val="22"/>
          <w:highlight w:val="none"/>
        </w:rPr>
      </w:pPr>
    </w:p>
    <w:p>
      <w:pPr>
        <w:spacing w:line="380" w:lineRule="exact"/>
        <w:jc w:val="center"/>
        <w:rPr>
          <w:rFonts w:ascii="宋体" w:hAnsi="宋体" w:cs="宋体"/>
          <w:b/>
          <w:color w:val="auto"/>
          <w:sz w:val="22"/>
          <w:szCs w:val="22"/>
          <w:highlight w:val="none"/>
        </w:rPr>
      </w:pPr>
      <w:r>
        <w:rPr>
          <w:rFonts w:hint="eastAsia" w:ascii="宋体" w:hAnsi="宋体" w:cs="宋体"/>
          <w:b/>
          <w:color w:val="auto"/>
          <w:sz w:val="22"/>
          <w:szCs w:val="22"/>
          <w:highlight w:val="none"/>
        </w:rPr>
        <w:t>（1-2）法定代表人授权书</w:t>
      </w:r>
    </w:p>
    <w:p>
      <w:pPr>
        <w:spacing w:line="400" w:lineRule="exact"/>
        <w:jc w:val="center"/>
        <w:rPr>
          <w:rFonts w:ascii="宋体" w:hAnsi="宋体" w:cs="宋体"/>
          <w:b/>
          <w:bCs/>
          <w:color w:val="auto"/>
          <w:sz w:val="28"/>
          <w:szCs w:val="28"/>
          <w:highlight w:val="none"/>
        </w:rPr>
      </w:pP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浙江东方职业技术学院：</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w:t>
      </w:r>
    </w:p>
    <w:p>
      <w:pPr>
        <w:spacing w:line="460" w:lineRule="exact"/>
        <w:rPr>
          <w:rFonts w:ascii="宋体" w:hAnsi="宋体" w:cs="宋体"/>
          <w:color w:val="auto"/>
          <w:sz w:val="22"/>
          <w:szCs w:val="22"/>
          <w:highlight w:val="none"/>
          <w:u w:val="single"/>
        </w:rPr>
      </w:pPr>
    </w:p>
    <w:p>
      <w:pPr>
        <w:spacing w:line="460" w:lineRule="exact"/>
        <w:ind w:firstLine="220" w:firstLineChars="100"/>
        <w:rPr>
          <w:rFonts w:ascii="宋体" w:hAnsi="宋体" w:cs="宋体"/>
          <w:color w:val="auto"/>
          <w:sz w:val="22"/>
          <w:szCs w:val="22"/>
          <w:highlight w:val="none"/>
        </w:rPr>
      </w:pPr>
      <w:r>
        <w:rPr>
          <w:rFonts w:hint="eastAsia" w:ascii="宋体" w:hAnsi="宋体" w:cs="宋体"/>
          <w:color w:val="auto"/>
          <w:sz w:val="22"/>
          <w:szCs w:val="22"/>
          <w:highlight w:val="none"/>
          <w:u w:val="single"/>
        </w:rPr>
        <w:t>（投标人全称）</w:t>
      </w:r>
      <w:r>
        <w:rPr>
          <w:rFonts w:hint="eastAsia" w:ascii="宋体" w:hAnsi="宋体" w:cs="宋体"/>
          <w:color w:val="auto"/>
          <w:sz w:val="22"/>
          <w:szCs w:val="22"/>
          <w:highlight w:val="none"/>
        </w:rPr>
        <w:t xml:space="preserve">法定代表人 </w:t>
      </w:r>
      <w:r>
        <w:rPr>
          <w:rFonts w:hint="eastAsia" w:ascii="宋体" w:hAnsi="宋体" w:cs="宋体"/>
          <w:color w:val="auto"/>
          <w:sz w:val="22"/>
          <w:szCs w:val="22"/>
          <w:highlight w:val="none"/>
          <w:u w:val="single"/>
        </w:rPr>
        <w:t>（法定代表人姓名）</w:t>
      </w:r>
      <w:r>
        <w:rPr>
          <w:rFonts w:hint="eastAsia" w:ascii="宋体" w:hAnsi="宋体" w:cs="宋体"/>
          <w:color w:val="auto"/>
          <w:sz w:val="22"/>
          <w:szCs w:val="22"/>
          <w:highlight w:val="none"/>
        </w:rPr>
        <w:t xml:space="preserve"> 授权</w:t>
      </w:r>
      <w:r>
        <w:rPr>
          <w:rFonts w:hint="eastAsia" w:ascii="宋体" w:hAnsi="宋体" w:cs="宋体"/>
          <w:color w:val="auto"/>
          <w:sz w:val="22"/>
          <w:szCs w:val="22"/>
          <w:highlight w:val="none"/>
          <w:u w:val="single"/>
        </w:rPr>
        <w:t>（全权代表姓名）</w:t>
      </w:r>
      <w:r>
        <w:rPr>
          <w:rFonts w:hint="eastAsia" w:ascii="宋体" w:hAnsi="宋体" w:cs="宋体"/>
          <w:color w:val="auto"/>
          <w:sz w:val="22"/>
          <w:szCs w:val="22"/>
          <w:highlight w:val="none"/>
        </w:rPr>
        <w:t>为本项目全权代表，参加贵单位组织的</w:t>
      </w:r>
      <w:r>
        <w:rPr>
          <w:rFonts w:hint="eastAsia" w:ascii="宋体" w:hAnsi="宋体" w:cs="宋体"/>
          <w:color w:val="auto"/>
          <w:sz w:val="22"/>
          <w:szCs w:val="22"/>
          <w:highlight w:val="none"/>
          <w:u w:val="single"/>
        </w:rPr>
        <w:t>（采购项目、采购编号）</w:t>
      </w:r>
      <w:r>
        <w:rPr>
          <w:rFonts w:hint="eastAsia" w:ascii="宋体" w:hAnsi="宋体" w:cs="宋体"/>
          <w:color w:val="auto"/>
          <w:sz w:val="22"/>
          <w:szCs w:val="22"/>
          <w:highlight w:val="none"/>
        </w:rPr>
        <w:t>的采购活动，全权代表我方处理采购活动中的一切事宜。联系方式如下：</w:t>
      </w:r>
      <w:r>
        <w:rPr>
          <w:rFonts w:hint="eastAsia" w:ascii="宋体" w:hAnsi="宋体" w:cs="宋体"/>
          <w:color w:val="auto"/>
          <w:sz w:val="22"/>
          <w:szCs w:val="22"/>
          <w:highlight w:val="none"/>
          <w:u w:val="single"/>
        </w:rPr>
        <w:t xml:space="preserve">手机号码：       联系邮箱:         详细通讯地址：             </w:t>
      </w:r>
      <w:r>
        <w:rPr>
          <w:rFonts w:hint="eastAsia" w:ascii="宋体" w:hAnsi="宋体" w:cs="宋体"/>
          <w:color w:val="auto"/>
          <w:sz w:val="22"/>
          <w:szCs w:val="22"/>
          <w:highlight w:val="none"/>
        </w:rPr>
        <w:t xml:space="preserve"> 。  </w:t>
      </w:r>
    </w:p>
    <w:p>
      <w:pPr>
        <w:spacing w:line="460" w:lineRule="exact"/>
        <w:ind w:firstLine="220" w:firstLineChars="100"/>
        <w:rPr>
          <w:rFonts w:ascii="宋体" w:hAnsi="宋体" w:cs="宋体"/>
          <w:color w:val="auto"/>
          <w:sz w:val="22"/>
          <w:szCs w:val="22"/>
          <w:highlight w:val="none"/>
        </w:rPr>
      </w:pPr>
    </w:p>
    <w:p>
      <w:pPr>
        <w:spacing w:line="460" w:lineRule="exact"/>
        <w:ind w:firstLine="550" w:firstLineChars="250"/>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p>
    <w:p>
      <w:pPr>
        <w:spacing w:line="460" w:lineRule="exact"/>
        <w:ind w:firstLine="2955"/>
        <w:rPr>
          <w:rFonts w:ascii="宋体" w:hAnsi="宋体" w:cs="宋体"/>
          <w:color w:val="auto"/>
          <w:sz w:val="22"/>
          <w:szCs w:val="22"/>
          <w:highlight w:val="none"/>
        </w:rPr>
      </w:pPr>
    </w:p>
    <w:p>
      <w:pPr>
        <w:spacing w:line="460" w:lineRule="exact"/>
        <w:ind w:firstLine="3971" w:firstLineChars="1805"/>
        <w:rPr>
          <w:rFonts w:ascii="宋体" w:hAnsi="宋体" w:cs="宋体"/>
          <w:color w:val="auto"/>
          <w:sz w:val="22"/>
          <w:szCs w:val="22"/>
          <w:highlight w:val="none"/>
        </w:rPr>
      </w:pPr>
      <w:r>
        <w:rPr>
          <w:rFonts w:hint="eastAsia" w:ascii="宋体" w:hAnsi="宋体" w:cs="宋体"/>
          <w:color w:val="auto"/>
          <w:sz w:val="22"/>
          <w:szCs w:val="22"/>
          <w:highlight w:val="none"/>
        </w:rPr>
        <w:t>法定代表人 (签字或盖章)：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投标人名称（盖章）：</w:t>
      </w:r>
    </w:p>
    <w:p>
      <w:pPr>
        <w:spacing w:line="460" w:lineRule="exact"/>
        <w:ind w:firstLine="2955"/>
        <w:rPr>
          <w:rFonts w:ascii="宋体" w:hAnsi="宋体" w:cs="宋体"/>
          <w:color w:val="auto"/>
          <w:sz w:val="22"/>
          <w:szCs w:val="22"/>
          <w:highlight w:val="none"/>
        </w:rPr>
      </w:pPr>
      <w:r>
        <w:rPr>
          <w:rFonts w:hint="eastAsia" w:ascii="宋体" w:hAnsi="宋体" w:cs="宋体"/>
          <w:color w:val="auto"/>
          <w:sz w:val="22"/>
          <w:szCs w:val="22"/>
          <w:highlight w:val="none"/>
        </w:rPr>
        <w:t xml:space="preserve">         日期：     年    月   日</w:t>
      </w:r>
    </w:p>
    <w:p>
      <w:pPr>
        <w:spacing w:line="460" w:lineRule="exact"/>
        <w:rPr>
          <w:rFonts w:ascii="宋体" w:hAnsi="宋体" w:cs="宋体"/>
          <w:color w:val="auto"/>
          <w:sz w:val="22"/>
          <w:szCs w:val="22"/>
          <w:highlight w:val="none"/>
        </w:rPr>
      </w:pPr>
    </w:p>
    <w:p>
      <w:pPr>
        <w:spacing w:line="460" w:lineRule="exact"/>
        <w:rPr>
          <w:rFonts w:ascii="宋体" w:hAnsi="宋体" w:cs="宋体"/>
          <w:color w:val="auto"/>
          <w:sz w:val="22"/>
          <w:szCs w:val="22"/>
          <w:highlight w:val="none"/>
        </w:rPr>
      </w:pPr>
    </w:p>
    <w:p>
      <w:pPr>
        <w:spacing w:line="460" w:lineRule="exact"/>
        <w:rPr>
          <w:rFonts w:ascii="宋体" w:hAnsi="宋体" w:cs="宋体"/>
          <w:color w:val="auto"/>
          <w:sz w:val="22"/>
          <w:szCs w:val="22"/>
          <w:highlight w:val="none"/>
        </w:rPr>
      </w:pPr>
      <w:r>
        <w:rPr>
          <w:rFonts w:hint="eastAsia" w:ascii="宋体" w:hAnsi="宋体" w:cs="宋体"/>
          <w:b/>
          <w:color w:val="auto"/>
          <w:sz w:val="22"/>
          <w:szCs w:val="22"/>
          <w:highlight w:val="none"/>
        </w:rPr>
        <w:t>附：法定代表人及授权代表的身份证正反面复印件</w:t>
      </w: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widowControl/>
        <w:jc w:val="left"/>
        <w:rPr>
          <w:rFonts w:ascii="宋体" w:hAnsi="宋体" w:cs="宋体"/>
          <w:b/>
          <w:bCs/>
          <w:color w:val="auto"/>
          <w:highlight w:val="none"/>
        </w:rPr>
      </w:pPr>
    </w:p>
    <w:p>
      <w:pPr>
        <w:spacing w:line="460" w:lineRule="exact"/>
        <w:rPr>
          <w:rFonts w:ascii="宋体" w:hAnsi="宋体" w:cs="宋体"/>
          <w:color w:val="auto"/>
          <w:sz w:val="22"/>
          <w:szCs w:val="22"/>
          <w:highlight w:val="none"/>
        </w:rPr>
      </w:pPr>
      <w:r>
        <w:rPr>
          <w:rFonts w:hint="eastAsia" w:ascii="宋体" w:hAnsi="宋体" w:cs="宋体"/>
          <w:color w:val="auto"/>
          <w:sz w:val="22"/>
          <w:szCs w:val="22"/>
          <w:highlight w:val="none"/>
        </w:rPr>
        <w:t>说明：</w:t>
      </w:r>
    </w:p>
    <w:p>
      <w:pPr>
        <w:spacing w:line="460" w:lineRule="exact"/>
        <w:rPr>
          <w:rFonts w:ascii="宋体" w:hAnsi="宋体" w:cs="宋体"/>
          <w:color w:val="auto"/>
          <w:sz w:val="22"/>
          <w:szCs w:val="22"/>
          <w:highlight w:val="none"/>
        </w:rPr>
      </w:pPr>
      <w:r>
        <w:rPr>
          <w:rFonts w:hint="eastAsia" w:ascii="宋体" w:hAnsi="宋体" w:cs="宋体"/>
          <w:b/>
          <w:color w:val="auto"/>
          <w:sz w:val="22"/>
          <w:szCs w:val="22"/>
          <w:highlight w:val="none"/>
        </w:rPr>
        <w:t>1、若投标人代表为法定代表人，应提供声明书（1-1）并提交法定代表人身份证正反面复印件；</w:t>
      </w:r>
    </w:p>
    <w:p>
      <w:pPr>
        <w:spacing w:line="460" w:lineRule="exact"/>
        <w:rPr>
          <w:rFonts w:ascii="宋体" w:hAnsi="宋体" w:cs="宋体"/>
          <w:color w:val="auto"/>
          <w:sz w:val="22"/>
          <w:szCs w:val="22"/>
          <w:highlight w:val="none"/>
        </w:rPr>
      </w:pPr>
      <w:r>
        <w:rPr>
          <w:rFonts w:hint="eastAsia" w:ascii="宋体" w:hAnsi="宋体" w:cs="宋体"/>
          <w:b/>
          <w:color w:val="auto"/>
          <w:sz w:val="22"/>
          <w:szCs w:val="22"/>
          <w:highlight w:val="none"/>
        </w:rPr>
        <w:t>2、若投标人代表为法定代表人授权的委托代理人，应提供授权书（1-2），并附法定代表人及授权代表的身份证正反面复印件。</w:t>
      </w:r>
    </w:p>
    <w:p>
      <w:pPr>
        <w:spacing w:line="460" w:lineRule="exact"/>
        <w:rPr>
          <w:rFonts w:ascii="宋体" w:hAnsi="宋体" w:cs="宋体"/>
          <w:color w:val="auto"/>
          <w:sz w:val="22"/>
          <w:szCs w:val="22"/>
          <w:highlight w:val="none"/>
        </w:rPr>
      </w:pPr>
    </w:p>
    <w:p>
      <w:pPr>
        <w:spacing w:line="380" w:lineRule="exact"/>
        <w:jc w:val="center"/>
        <w:rPr>
          <w:rFonts w:ascii="宋体" w:hAnsi="宋体" w:cs="宋体"/>
          <w:b/>
          <w:bCs/>
          <w:color w:val="auto"/>
          <w:sz w:val="32"/>
          <w:highlight w:val="none"/>
        </w:rPr>
      </w:pPr>
      <w:r>
        <w:rPr>
          <w:rFonts w:hint="eastAsia" w:ascii="宋体" w:hAnsi="宋体" w:cs="宋体"/>
          <w:b/>
          <w:bCs/>
          <w:color w:val="auto"/>
          <w:sz w:val="32"/>
          <w:highlight w:val="none"/>
        </w:rPr>
        <w:br w:type="page"/>
      </w:r>
    </w:p>
    <w:p>
      <w:pPr>
        <w:spacing w:line="380" w:lineRule="exact"/>
        <w:jc w:val="center"/>
        <w:rPr>
          <w:rFonts w:ascii="宋体" w:hAnsi="宋体" w:cs="宋体"/>
          <w:b/>
          <w:bCs/>
          <w:color w:val="auto"/>
          <w:sz w:val="32"/>
          <w:highlight w:val="none"/>
        </w:rPr>
      </w:pPr>
    </w:p>
    <w:p>
      <w:pPr>
        <w:widowControl/>
        <w:adjustRightInd w:val="0"/>
        <w:snapToGrid w:val="0"/>
        <w:spacing w:line="360" w:lineRule="auto"/>
        <w:jc w:val="center"/>
        <w:rPr>
          <w:rFonts w:ascii="宋体"/>
          <w:b/>
          <w:color w:val="auto"/>
          <w:sz w:val="22"/>
          <w:szCs w:val="22"/>
          <w:highlight w:val="none"/>
        </w:rPr>
      </w:pPr>
      <w:r>
        <w:rPr>
          <w:rFonts w:hint="eastAsia" w:ascii="宋体"/>
          <w:b/>
          <w:color w:val="auto"/>
          <w:sz w:val="22"/>
          <w:szCs w:val="22"/>
          <w:highlight w:val="none"/>
        </w:rPr>
        <w:t>（2）投标投标人参与国企采购活动投标资格声明函</w:t>
      </w:r>
    </w:p>
    <w:p>
      <w:pPr>
        <w:widowControl/>
        <w:adjustRightInd w:val="0"/>
        <w:snapToGrid w:val="0"/>
        <w:spacing w:line="360" w:lineRule="auto"/>
        <w:jc w:val="left"/>
        <w:rPr>
          <w:rFonts w:ascii="宋体" w:cs="新宋体"/>
          <w:color w:val="auto"/>
          <w:kern w:val="0"/>
          <w:sz w:val="22"/>
          <w:szCs w:val="22"/>
          <w:highlight w:val="none"/>
        </w:rPr>
      </w:pPr>
    </w:p>
    <w:p>
      <w:pPr>
        <w:widowControl/>
        <w:adjustRightInd w:val="0"/>
        <w:snapToGrid w:val="0"/>
        <w:spacing w:line="360" w:lineRule="auto"/>
        <w:jc w:val="left"/>
        <w:rPr>
          <w:rFonts w:ascii="宋体" w:cs="宋体"/>
          <w:color w:val="auto"/>
          <w:kern w:val="0"/>
          <w:sz w:val="22"/>
          <w:szCs w:val="22"/>
          <w:highlight w:val="none"/>
        </w:rPr>
      </w:pPr>
      <w:r>
        <w:rPr>
          <w:rFonts w:hint="eastAsia" w:ascii="宋体" w:hAnsi="宋体" w:cs="宋体"/>
          <w:color w:val="auto"/>
          <w:sz w:val="22"/>
          <w:szCs w:val="22"/>
          <w:highlight w:val="none"/>
        </w:rPr>
        <w:t>浙江东方职业技术学院</w:t>
      </w:r>
      <w:r>
        <w:rPr>
          <w:rFonts w:hint="eastAsia" w:ascii="宋体" w:cs="宋体"/>
          <w:color w:val="auto"/>
          <w:kern w:val="0"/>
          <w:sz w:val="22"/>
          <w:szCs w:val="22"/>
          <w:highlight w:val="none"/>
        </w:rPr>
        <w:t>：</w:t>
      </w:r>
    </w:p>
    <w:p>
      <w:pPr>
        <w:widowControl/>
        <w:adjustRightInd w:val="0"/>
        <w:snapToGrid w:val="0"/>
        <w:spacing w:line="360" w:lineRule="auto"/>
        <w:jc w:val="left"/>
        <w:rPr>
          <w:rFonts w:ascii="宋体" w:cs="宋体"/>
          <w:color w:val="auto"/>
          <w:kern w:val="0"/>
          <w:sz w:val="22"/>
          <w:szCs w:val="22"/>
          <w:highlight w:val="none"/>
        </w:rPr>
      </w:pPr>
      <w:r>
        <w:rPr>
          <w:rFonts w:hint="eastAsia" w:ascii="宋体" w:cs="宋体"/>
          <w:color w:val="auto"/>
          <w:kern w:val="0"/>
          <w:sz w:val="22"/>
          <w:szCs w:val="22"/>
          <w:highlight w:val="none"/>
        </w:rPr>
        <w:t>温州元信工程项目管理有限公司：</w:t>
      </w:r>
    </w:p>
    <w:p>
      <w:pPr>
        <w:widowControl/>
        <w:adjustRightInd w:val="0"/>
        <w:snapToGrid w:val="0"/>
        <w:spacing w:line="360" w:lineRule="auto"/>
        <w:ind w:firstLine="440" w:firstLineChars="200"/>
        <w:jc w:val="left"/>
        <w:rPr>
          <w:rFonts w:ascii="宋体" w:cs="宋体"/>
          <w:color w:val="auto"/>
          <w:kern w:val="0"/>
          <w:sz w:val="22"/>
          <w:szCs w:val="22"/>
          <w:highlight w:val="none"/>
        </w:rPr>
      </w:pPr>
      <w:r>
        <w:rPr>
          <w:rFonts w:hint="eastAsia" w:ascii="宋体" w:cs="宋体"/>
          <w:color w:val="auto"/>
          <w:kern w:val="0"/>
          <w:sz w:val="22"/>
          <w:szCs w:val="22"/>
          <w:highlight w:val="none"/>
        </w:rPr>
        <w:t>我单位参与</w:t>
      </w:r>
      <w:r>
        <w:rPr>
          <w:rFonts w:hint="eastAsia" w:ascii="宋体"/>
          <w:color w:val="auto"/>
          <w:sz w:val="22"/>
          <w:szCs w:val="22"/>
          <w:highlight w:val="none"/>
          <w:u w:val="single"/>
        </w:rPr>
        <w:t xml:space="preserve">（项目名称） </w:t>
      </w:r>
      <w:r>
        <w:rPr>
          <w:rFonts w:hint="eastAsia" w:ascii="宋体" w:cs="宋体"/>
          <w:color w:val="auto"/>
          <w:kern w:val="0"/>
          <w:sz w:val="22"/>
          <w:szCs w:val="22"/>
          <w:highlight w:val="none"/>
        </w:rPr>
        <w:t>项目的采购活动，现声明如下：</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1、我单位具有独立承担民事责任的能力。</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2、我单位具有良好的商业信誉和健全的财务会计制度。</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3、我单位具有依法缴纳税收和社会保障资金的良好记录。</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4、我单位具有履行本项目国企采购合同所必需的设备和专业技术能力。</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5、我单位未被列入失信被执行人名单、重大税收违法案件当事人名单、采购严重违法失信行为记录名单，参加本次国企采购活动前3年内在经营活动中没有重大违法记录（没有因违法经营受到刑事处罚，没有被责令停产停业、被吊销许可证或者执照、被处以较大数额罚款等行政处罚，没有因违法经营被禁止参加采购活动的期限未满情形）。</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6、我单位未与单位负责人为同一人或者存在直接控股、管理关系的其他投标人，一起参加本项目的国企采购活动。</w:t>
      </w:r>
    </w:p>
    <w:p>
      <w:pPr>
        <w:widowControl/>
        <w:adjustRightInd w:val="0"/>
        <w:snapToGrid w:val="0"/>
        <w:spacing w:line="360" w:lineRule="auto"/>
        <w:ind w:left="216" w:leftChars="103" w:firstLine="200" w:firstLineChars="91"/>
        <w:jc w:val="left"/>
        <w:rPr>
          <w:rFonts w:ascii="宋体" w:cs="宋体"/>
          <w:color w:val="auto"/>
          <w:kern w:val="0"/>
          <w:sz w:val="22"/>
          <w:szCs w:val="22"/>
          <w:highlight w:val="none"/>
        </w:rPr>
      </w:pPr>
      <w:r>
        <w:rPr>
          <w:rFonts w:hint="eastAsia" w:ascii="宋体" w:cs="宋体"/>
          <w:color w:val="auto"/>
          <w:kern w:val="0"/>
          <w:sz w:val="22"/>
          <w:szCs w:val="22"/>
          <w:highlight w:val="none"/>
        </w:rPr>
        <w:t>7、我单位符合本项目特定资格条件：</w:t>
      </w:r>
      <w:r>
        <w:rPr>
          <w:rFonts w:hint="eastAsia" w:ascii="宋体" w:cs="宋体"/>
          <w:color w:val="auto"/>
          <w:kern w:val="0"/>
          <w:sz w:val="22"/>
          <w:szCs w:val="22"/>
          <w:highlight w:val="none"/>
          <w:u w:val="single"/>
        </w:rPr>
        <w:t xml:space="preserve">                </w:t>
      </w:r>
      <w:r>
        <w:rPr>
          <w:rFonts w:hint="eastAsia" w:ascii="宋体" w:cs="宋体"/>
          <w:color w:val="auto"/>
          <w:kern w:val="0"/>
          <w:sz w:val="22"/>
          <w:szCs w:val="22"/>
          <w:highlight w:val="none"/>
        </w:rPr>
        <w:t xml:space="preserve"> 的要求，并在投标文件中提供了相应的证明材料（采购文件没有要求特定资格条件的，本条款空格处可以空白）</w:t>
      </w:r>
    </w:p>
    <w:p>
      <w:pPr>
        <w:widowControl/>
        <w:adjustRightInd w:val="0"/>
        <w:snapToGrid w:val="0"/>
        <w:spacing w:line="360" w:lineRule="auto"/>
        <w:ind w:firstLine="440" w:firstLineChars="200"/>
        <w:jc w:val="left"/>
        <w:rPr>
          <w:rFonts w:ascii="宋体" w:cs="宋体"/>
          <w:color w:val="auto"/>
          <w:kern w:val="0"/>
          <w:sz w:val="22"/>
          <w:szCs w:val="22"/>
          <w:highlight w:val="none"/>
        </w:rPr>
      </w:pPr>
      <w:r>
        <w:rPr>
          <w:rFonts w:hint="eastAsia" w:ascii="宋体" w:cs="宋体"/>
          <w:color w:val="auto"/>
          <w:kern w:val="0"/>
          <w:sz w:val="22"/>
          <w:szCs w:val="22"/>
          <w:highlight w:val="none"/>
        </w:rPr>
        <w:t>以上事项如有虚假，采购人可取消我方任何资格（投标/中标/签订合同），我方对此无任何异议。</w:t>
      </w:r>
    </w:p>
    <w:p>
      <w:pPr>
        <w:widowControl/>
        <w:adjustRightInd w:val="0"/>
        <w:snapToGrid w:val="0"/>
        <w:spacing w:line="360" w:lineRule="auto"/>
        <w:ind w:firstLine="440" w:firstLineChars="200"/>
        <w:jc w:val="left"/>
        <w:rPr>
          <w:rFonts w:ascii="宋体" w:cs="宋体"/>
          <w:color w:val="auto"/>
          <w:kern w:val="0"/>
          <w:sz w:val="22"/>
          <w:szCs w:val="22"/>
          <w:highlight w:val="none"/>
        </w:rPr>
      </w:pPr>
    </w:p>
    <w:p>
      <w:pPr>
        <w:widowControl/>
        <w:adjustRightInd w:val="0"/>
        <w:snapToGrid w:val="0"/>
        <w:spacing w:line="360" w:lineRule="auto"/>
        <w:ind w:firstLine="440" w:firstLineChars="200"/>
        <w:jc w:val="left"/>
        <w:rPr>
          <w:rFonts w:ascii="宋体" w:cs="宋体"/>
          <w:color w:val="auto"/>
          <w:kern w:val="0"/>
          <w:sz w:val="22"/>
          <w:szCs w:val="22"/>
          <w:highlight w:val="none"/>
        </w:rPr>
      </w:pPr>
      <w:r>
        <w:rPr>
          <w:rFonts w:hint="eastAsia" w:ascii="宋体" w:cs="宋体"/>
          <w:color w:val="auto"/>
          <w:kern w:val="0"/>
          <w:sz w:val="22"/>
          <w:szCs w:val="22"/>
          <w:highlight w:val="none"/>
        </w:rPr>
        <w:t>特此承诺！</w:t>
      </w:r>
    </w:p>
    <w:p>
      <w:pPr>
        <w:widowControl/>
        <w:adjustRightInd w:val="0"/>
        <w:snapToGrid w:val="0"/>
        <w:spacing w:line="360" w:lineRule="auto"/>
        <w:ind w:firstLine="440" w:firstLineChars="200"/>
        <w:jc w:val="left"/>
        <w:rPr>
          <w:rFonts w:ascii="宋体" w:cs="新宋体"/>
          <w:color w:val="auto"/>
          <w:kern w:val="0"/>
          <w:sz w:val="22"/>
          <w:szCs w:val="22"/>
          <w:highlight w:val="none"/>
        </w:rPr>
      </w:pPr>
    </w:p>
    <w:p>
      <w:pPr>
        <w:pStyle w:val="16"/>
        <w:rPr>
          <w:color w:val="auto"/>
          <w:highlight w:val="none"/>
        </w:rPr>
      </w:pP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投标人名称（盖章） ：</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日期：     年  月  日</w:t>
      </w:r>
    </w:p>
    <w:p>
      <w:pPr>
        <w:pStyle w:val="16"/>
        <w:rPr>
          <w:color w:val="auto"/>
          <w:highlight w:val="none"/>
        </w:rPr>
      </w:pPr>
    </w:p>
    <w:p>
      <w:pPr>
        <w:widowControl/>
        <w:adjustRightInd w:val="0"/>
        <w:snapToGrid w:val="0"/>
        <w:spacing w:line="360" w:lineRule="auto"/>
        <w:jc w:val="left"/>
        <w:rPr>
          <w:rFonts w:ascii="宋体"/>
          <w:color w:val="auto"/>
          <w:sz w:val="22"/>
          <w:szCs w:val="22"/>
          <w:highlight w:val="none"/>
        </w:rPr>
      </w:pPr>
      <w:r>
        <w:rPr>
          <w:rFonts w:hint="eastAsia" w:ascii="宋体" w:cs="新宋体"/>
          <w:color w:val="auto"/>
          <w:kern w:val="0"/>
          <w:sz w:val="22"/>
          <w:szCs w:val="22"/>
          <w:highlight w:val="none"/>
        </w:rPr>
        <w:br w:type="page"/>
      </w:r>
    </w:p>
    <w:p>
      <w:pPr>
        <w:pStyle w:val="20"/>
        <w:snapToGrid w:val="0"/>
        <w:spacing w:line="324" w:lineRule="auto"/>
        <w:jc w:val="center"/>
        <w:rPr>
          <w:b/>
          <w:bCs/>
          <w:color w:val="auto"/>
          <w:sz w:val="22"/>
          <w:szCs w:val="22"/>
          <w:highlight w:val="none"/>
        </w:rPr>
      </w:pPr>
      <w:r>
        <w:rPr>
          <w:rFonts w:hint="eastAsia"/>
          <w:b/>
          <w:bCs/>
          <w:color w:val="auto"/>
          <w:sz w:val="22"/>
          <w:szCs w:val="22"/>
          <w:highlight w:val="none"/>
        </w:rPr>
        <w:t>（3）诚信投标承诺书</w:t>
      </w:r>
    </w:p>
    <w:p>
      <w:pPr>
        <w:ind w:right="-153" w:rightChars="-73"/>
        <w:jc w:val="center"/>
        <w:rPr>
          <w:rFonts w:ascii="宋体"/>
          <w:color w:val="auto"/>
          <w:sz w:val="22"/>
          <w:szCs w:val="22"/>
          <w:highlight w:val="none"/>
        </w:rPr>
      </w:pPr>
    </w:p>
    <w:p>
      <w:pPr>
        <w:spacing w:line="520" w:lineRule="exact"/>
        <w:ind w:right="-153" w:rightChars="-73"/>
        <w:rPr>
          <w:rFonts w:ascii="宋体"/>
          <w:color w:val="auto"/>
          <w:sz w:val="22"/>
          <w:szCs w:val="22"/>
          <w:highlight w:val="none"/>
        </w:rPr>
      </w:pPr>
      <w:r>
        <w:rPr>
          <w:rFonts w:hint="eastAsia" w:ascii="宋体"/>
          <w:color w:val="auto"/>
          <w:sz w:val="22"/>
          <w:szCs w:val="22"/>
          <w:highlight w:val="none"/>
        </w:rPr>
        <w:t>本企业郑重承诺：</w:t>
      </w:r>
    </w:p>
    <w:p>
      <w:pPr>
        <w:spacing w:line="500" w:lineRule="exact"/>
        <w:ind w:firstLine="440" w:firstLineChars="200"/>
        <w:rPr>
          <w:rFonts w:ascii="宋体"/>
          <w:color w:val="auto"/>
          <w:sz w:val="22"/>
          <w:szCs w:val="22"/>
          <w:highlight w:val="none"/>
        </w:rPr>
      </w:pPr>
      <w:r>
        <w:rPr>
          <w:rFonts w:hint="eastAsia" w:ascii="宋体"/>
          <w:color w:val="auto"/>
          <w:sz w:val="22"/>
          <w:szCs w:val="22"/>
          <w:highlight w:val="none"/>
        </w:rPr>
        <w:t>为了积极配合贵单位组织的</w:t>
      </w:r>
      <w:r>
        <w:rPr>
          <w:rFonts w:hint="eastAsia" w:ascii="宋体"/>
          <w:color w:val="auto"/>
          <w:sz w:val="22"/>
          <w:szCs w:val="22"/>
          <w:highlight w:val="none"/>
          <w:u w:val="single"/>
        </w:rPr>
        <w:t xml:space="preserve"> （项目名称） 采购</w:t>
      </w:r>
      <w:r>
        <w:rPr>
          <w:rFonts w:hint="eastAsia" w:ascii="宋体"/>
          <w:color w:val="auto"/>
          <w:sz w:val="22"/>
          <w:szCs w:val="22"/>
          <w:highlight w:val="none"/>
        </w:rPr>
        <w:t>工作，有效遏制不公平竞争和违规违纪问题的发生，确保采购工作的公平、公正、公开，我们保证认真贯彻</w:t>
      </w:r>
      <w:r>
        <w:rPr>
          <w:rFonts w:hint="eastAsia" w:ascii="宋体" w:cs="Century Gothic"/>
          <w:color w:val="auto"/>
          <w:sz w:val="22"/>
          <w:szCs w:val="22"/>
          <w:highlight w:val="none"/>
        </w:rPr>
        <w:t>《温州市市属国有企业采购管理办法（试行）》等法律及有关法规</w:t>
      </w:r>
      <w:r>
        <w:rPr>
          <w:rFonts w:hint="eastAsia" w:ascii="宋体"/>
          <w:color w:val="auto"/>
          <w:sz w:val="22"/>
          <w:szCs w:val="22"/>
          <w:highlight w:val="none"/>
        </w:rPr>
        <w:t>相关规定以及有关廉洁要求，特承诺如下事项：</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自觉遵守国家法律法规及有关廉政建设制度。</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主动了解采购人招投标纪律，积极配合采购人执行招投标廉政建设的有关规定。</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不使用不正当手段妨碍、排挤其它投标人或串通投标。</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按照本采购文件规定的方式进行投标，不隐瞒本单位投标资质的真实情况，投标资质符合规定。</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不以任何方式向采购人员赠送礼品、礼金及有价证券；不宴请或邀请采购人的任何人参加高档娱乐消费、旅游、考察、参观等活动；不以任何形式报销采购人的任何人以及亲友的各种票据及费用；不进行可能影响招投标公平、公正的任何活动。</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不向采购人及个人购置或提供通讯工具、交通工具和高档办公用品等。</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不向采购人涉及采购的人员的配偶、子女分包此次采购项目。</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不向采购人及个人支付好处费、介绍费。</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一旦发现相关人员在采购过程中的索要财物等不廉洁行为，坚决予以抵制，并及时向有关纪检监察部门举报。</w:t>
      </w:r>
    </w:p>
    <w:p>
      <w:pPr>
        <w:numPr>
          <w:ilvl w:val="0"/>
          <w:numId w:val="36"/>
        </w:numPr>
        <w:snapToGrid w:val="0"/>
        <w:spacing w:line="500" w:lineRule="exact"/>
        <w:ind w:left="0" w:firstLine="385"/>
        <w:rPr>
          <w:rFonts w:ascii="宋体"/>
          <w:color w:val="auto"/>
          <w:sz w:val="22"/>
          <w:szCs w:val="22"/>
          <w:highlight w:val="none"/>
        </w:rPr>
      </w:pPr>
      <w:r>
        <w:rPr>
          <w:rFonts w:hint="eastAsia" w:ascii="宋体"/>
          <w:color w:val="auto"/>
          <w:sz w:val="22"/>
          <w:szCs w:val="22"/>
          <w:highlight w:val="none"/>
        </w:rPr>
        <w:t>我们若违反上述承诺，愿接受取消投标人资格及其他任何形式的处理。</w:t>
      </w:r>
    </w:p>
    <w:p>
      <w:pPr>
        <w:snapToGrid w:val="0"/>
        <w:spacing w:line="500" w:lineRule="exact"/>
        <w:ind w:firstLine="385" w:firstLineChars="175"/>
        <w:rPr>
          <w:rFonts w:ascii="宋体"/>
          <w:color w:val="auto"/>
          <w:sz w:val="22"/>
          <w:szCs w:val="22"/>
          <w:highlight w:val="none"/>
        </w:rPr>
      </w:pP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投标人名称（盖章） ：</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法定代表人（负责人）或其授权代表（签字或盖章）：</w:t>
      </w:r>
    </w:p>
    <w:p>
      <w:pPr>
        <w:widowControl/>
        <w:adjustRightInd w:val="0"/>
        <w:snapToGrid w:val="0"/>
        <w:spacing w:line="440" w:lineRule="exact"/>
        <w:ind w:firstLine="440" w:firstLineChars="200"/>
        <w:jc w:val="left"/>
        <w:rPr>
          <w:rFonts w:ascii="宋体" w:cs="Arial"/>
          <w:color w:val="auto"/>
          <w:kern w:val="0"/>
          <w:sz w:val="22"/>
          <w:szCs w:val="22"/>
          <w:highlight w:val="none"/>
        </w:rPr>
      </w:pPr>
      <w:r>
        <w:rPr>
          <w:rFonts w:hint="eastAsia" w:ascii="宋体" w:cs="Arial"/>
          <w:color w:val="auto"/>
          <w:kern w:val="0"/>
          <w:sz w:val="22"/>
          <w:szCs w:val="22"/>
          <w:highlight w:val="none"/>
        </w:rPr>
        <w:t>日期：     年  月  日</w:t>
      </w:r>
    </w:p>
    <w:p>
      <w:pPr>
        <w:pStyle w:val="17"/>
        <w:ind w:firstLine="210"/>
        <w:rPr>
          <w:rFonts w:ascii="宋体" w:hAnsi="宋体" w:cs="宋体"/>
          <w:color w:val="auto"/>
          <w:highlight w:val="none"/>
        </w:rPr>
      </w:pPr>
    </w:p>
    <w:p>
      <w:pPr>
        <w:spacing w:line="460" w:lineRule="exact"/>
        <w:rPr>
          <w:rFonts w:ascii="宋体" w:hAnsi="宋体" w:cs="宋体"/>
          <w:color w:val="auto"/>
          <w:highlight w:val="none"/>
        </w:rPr>
        <w:sectPr>
          <w:headerReference r:id="rId3" w:type="default"/>
          <w:footerReference r:id="rId4" w:type="default"/>
          <w:pgSz w:w="11906" w:h="16838"/>
          <w:pgMar w:top="1134" w:right="1134" w:bottom="1134" w:left="1134" w:header="851" w:footer="851" w:gutter="0"/>
          <w:cols w:space="720" w:num="1"/>
          <w:titlePg/>
          <w:docGrid w:linePitch="312" w:charSpace="0"/>
        </w:sectPr>
      </w:pPr>
    </w:p>
    <w:p>
      <w:pPr>
        <w:spacing w:line="380" w:lineRule="exact"/>
        <w:rPr>
          <w:rFonts w:ascii="宋体" w:hAnsi="宋体"/>
          <w:b/>
          <w:bCs/>
          <w:color w:val="auto"/>
          <w:sz w:val="22"/>
          <w:szCs w:val="22"/>
          <w:highlight w:val="none"/>
        </w:rPr>
      </w:pPr>
      <w:r>
        <w:rPr>
          <w:rFonts w:hint="eastAsia" w:ascii="宋体" w:hAnsi="宋体"/>
          <w:b/>
          <w:bCs/>
          <w:color w:val="auto"/>
          <w:sz w:val="22"/>
          <w:szCs w:val="22"/>
          <w:highlight w:val="none"/>
        </w:rPr>
        <w:t xml:space="preserve">附件二 </w:t>
      </w:r>
    </w:p>
    <w:p>
      <w:pPr>
        <w:spacing w:line="460" w:lineRule="exact"/>
        <w:jc w:val="center"/>
        <w:rPr>
          <w:rFonts w:ascii="宋体" w:hAnsi="宋体"/>
          <w:b/>
          <w:bCs/>
          <w:color w:val="auto"/>
          <w:sz w:val="28"/>
          <w:szCs w:val="28"/>
          <w:highlight w:val="none"/>
        </w:rPr>
      </w:pPr>
      <w:r>
        <w:rPr>
          <w:rFonts w:hint="eastAsia" w:ascii="宋体" w:hAnsi="宋体"/>
          <w:b/>
          <w:bCs/>
          <w:color w:val="auto"/>
          <w:sz w:val="28"/>
          <w:szCs w:val="28"/>
          <w:highlight w:val="none"/>
        </w:rPr>
        <w:t>（1）开标一览表</w:t>
      </w:r>
    </w:p>
    <w:p>
      <w:pPr>
        <w:spacing w:line="380" w:lineRule="exact"/>
        <w:jc w:val="center"/>
        <w:rPr>
          <w:rFonts w:ascii="宋体" w:hAnsi="宋体"/>
          <w:b/>
          <w:bCs/>
          <w:color w:val="auto"/>
          <w:sz w:val="28"/>
          <w:highlight w:val="none"/>
        </w:rPr>
      </w:pPr>
    </w:p>
    <w:p>
      <w:pPr>
        <w:spacing w:line="380" w:lineRule="exact"/>
        <w:ind w:right="349" w:rightChars="166"/>
        <w:rPr>
          <w:rFonts w:ascii="宋体" w:hAnsi="宋体"/>
          <w:b/>
          <w:color w:val="auto"/>
          <w:sz w:val="22"/>
          <w:highlight w:val="none"/>
        </w:rPr>
      </w:pPr>
      <w:r>
        <w:rPr>
          <w:rFonts w:hint="eastAsia" w:ascii="宋体" w:hAnsi="宋体"/>
          <w:b/>
          <w:color w:val="auto"/>
          <w:sz w:val="22"/>
          <w:highlight w:val="none"/>
        </w:rPr>
        <w:t xml:space="preserve">                                                             单位：人民币元</w:t>
      </w:r>
    </w:p>
    <w:tbl>
      <w:tblPr>
        <w:tblStyle w:val="35"/>
        <w:tblW w:w="9468"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10"/>
        <w:gridCol w:w="2298"/>
        <w:gridCol w:w="2333"/>
        <w:gridCol w:w="412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8" w:hRule="exact"/>
          <w:jc w:val="center"/>
        </w:trPr>
        <w:tc>
          <w:tcPr>
            <w:tcW w:w="710" w:type="dxa"/>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序号</w:t>
            </w:r>
          </w:p>
        </w:tc>
        <w:tc>
          <w:tcPr>
            <w:tcW w:w="4631" w:type="dxa"/>
            <w:gridSpan w:val="2"/>
            <w:vAlign w:val="center"/>
          </w:tcPr>
          <w:p>
            <w:pPr>
              <w:spacing w:line="460" w:lineRule="exact"/>
              <w:jc w:val="center"/>
              <w:rPr>
                <w:rFonts w:ascii="宋体" w:hAnsi="宋体" w:cs="Arial"/>
                <w:b/>
                <w:snapToGrid w:val="0"/>
                <w:color w:val="auto"/>
                <w:kern w:val="0"/>
                <w:sz w:val="22"/>
                <w:szCs w:val="22"/>
                <w:highlight w:val="none"/>
              </w:rPr>
            </w:pPr>
            <w:r>
              <w:rPr>
                <w:rFonts w:hint="eastAsia" w:ascii="宋体" w:hAnsi="宋体" w:cs="Arial"/>
                <w:b/>
                <w:snapToGrid w:val="0"/>
                <w:color w:val="auto"/>
                <w:kern w:val="0"/>
                <w:sz w:val="22"/>
                <w:szCs w:val="22"/>
                <w:highlight w:val="none"/>
              </w:rPr>
              <w:t>项目</w:t>
            </w:r>
            <w:r>
              <w:rPr>
                <w:rFonts w:ascii="宋体" w:hAnsi="宋体" w:cs="Arial"/>
                <w:b/>
                <w:snapToGrid w:val="0"/>
                <w:color w:val="auto"/>
                <w:kern w:val="0"/>
                <w:sz w:val="22"/>
                <w:szCs w:val="22"/>
                <w:highlight w:val="none"/>
              </w:rPr>
              <w:t>名称</w:t>
            </w:r>
          </w:p>
        </w:tc>
        <w:tc>
          <w:tcPr>
            <w:tcW w:w="4127" w:type="dxa"/>
            <w:vAlign w:val="center"/>
          </w:tcPr>
          <w:p>
            <w:pPr>
              <w:spacing w:line="460" w:lineRule="exact"/>
              <w:jc w:val="center"/>
              <w:rPr>
                <w:rFonts w:hint="default" w:ascii="宋体" w:hAnsi="宋体" w:eastAsia="宋体" w:cs="Arial"/>
                <w:b/>
                <w:snapToGrid w:val="0"/>
                <w:color w:val="auto"/>
                <w:kern w:val="0"/>
                <w:sz w:val="22"/>
                <w:szCs w:val="22"/>
                <w:highlight w:val="none"/>
                <w:lang w:val="en-US" w:eastAsia="zh-CN"/>
              </w:rPr>
            </w:pPr>
            <w:r>
              <w:rPr>
                <w:rFonts w:hint="eastAsia" w:ascii="宋体" w:hAnsi="宋体" w:cs="Arial"/>
                <w:b/>
                <w:snapToGrid w:val="0"/>
                <w:color w:val="auto"/>
                <w:kern w:val="0"/>
                <w:sz w:val="22"/>
                <w:szCs w:val="22"/>
                <w:highlight w:val="none"/>
                <w:lang w:val="en-US" w:eastAsia="zh-CN"/>
              </w:rPr>
              <w:t>项目负责人</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134" w:hRule="atLeast"/>
          <w:jc w:val="center"/>
        </w:trPr>
        <w:tc>
          <w:tcPr>
            <w:tcW w:w="710" w:type="dxa"/>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1</w:t>
            </w:r>
          </w:p>
        </w:tc>
        <w:tc>
          <w:tcPr>
            <w:tcW w:w="4631" w:type="dxa"/>
            <w:gridSpan w:val="2"/>
            <w:vAlign w:val="center"/>
          </w:tcPr>
          <w:p>
            <w:pPr>
              <w:spacing w:line="460" w:lineRule="exact"/>
              <w:jc w:val="center"/>
              <w:rPr>
                <w:rFonts w:hint="eastAsia" w:ascii="宋体" w:hAnsi="宋体" w:eastAsia="宋体" w:cs="Arial"/>
                <w:snapToGrid w:val="0"/>
                <w:color w:val="auto"/>
                <w:kern w:val="0"/>
                <w:sz w:val="22"/>
                <w:szCs w:val="22"/>
                <w:highlight w:val="none"/>
                <w:lang w:eastAsia="zh-CN"/>
              </w:rPr>
            </w:pPr>
            <w:r>
              <w:rPr>
                <w:rFonts w:hint="eastAsia" w:ascii="宋体" w:hAnsi="宋体" w:cs="Arial"/>
                <w:snapToGrid w:val="0"/>
                <w:color w:val="auto"/>
                <w:kern w:val="0"/>
                <w:sz w:val="22"/>
                <w:szCs w:val="22"/>
                <w:highlight w:val="none"/>
                <w:lang w:eastAsia="zh-CN"/>
              </w:rPr>
              <w:t>教育部职业院校中台数据对接服务</w:t>
            </w:r>
          </w:p>
        </w:tc>
        <w:tc>
          <w:tcPr>
            <w:tcW w:w="4127" w:type="dxa"/>
            <w:vAlign w:val="center"/>
          </w:tcPr>
          <w:p>
            <w:pPr>
              <w:spacing w:line="460" w:lineRule="exact"/>
              <w:jc w:val="center"/>
              <w:rPr>
                <w:rFonts w:ascii="宋体" w:hAnsi="宋体" w:cs="Arial"/>
                <w:b/>
                <w:snapToGrid w:val="0"/>
                <w:color w:val="auto"/>
                <w:kern w:val="0"/>
                <w:sz w:val="22"/>
                <w:szCs w:val="22"/>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1502" w:hRule="atLeast"/>
          <w:jc w:val="center"/>
        </w:trPr>
        <w:tc>
          <w:tcPr>
            <w:tcW w:w="3008" w:type="dxa"/>
            <w:gridSpan w:val="2"/>
            <w:vAlign w:val="center"/>
          </w:tcPr>
          <w:p>
            <w:pPr>
              <w:spacing w:line="460" w:lineRule="exact"/>
              <w:jc w:val="center"/>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投标</w:t>
            </w:r>
            <w:r>
              <w:rPr>
                <w:rFonts w:hint="eastAsia" w:ascii="宋体" w:hAnsi="宋体" w:cs="Arial"/>
                <w:b/>
                <w:snapToGrid w:val="0"/>
                <w:color w:val="auto"/>
                <w:kern w:val="0"/>
                <w:sz w:val="22"/>
                <w:szCs w:val="22"/>
                <w:highlight w:val="none"/>
              </w:rPr>
              <w:t>报价</w:t>
            </w:r>
          </w:p>
        </w:tc>
        <w:tc>
          <w:tcPr>
            <w:tcW w:w="6460" w:type="dxa"/>
            <w:gridSpan w:val="2"/>
            <w:vAlign w:val="center"/>
          </w:tcPr>
          <w:p>
            <w:pPr>
              <w:spacing w:line="460" w:lineRule="exact"/>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 xml:space="preserve">大写：    </w:t>
            </w:r>
          </w:p>
          <w:p>
            <w:pPr>
              <w:spacing w:line="460" w:lineRule="exact"/>
              <w:rPr>
                <w:rFonts w:ascii="宋体" w:hAnsi="宋体" w:cs="Arial"/>
                <w:b/>
                <w:snapToGrid w:val="0"/>
                <w:color w:val="auto"/>
                <w:kern w:val="0"/>
                <w:sz w:val="22"/>
                <w:szCs w:val="22"/>
                <w:highlight w:val="none"/>
              </w:rPr>
            </w:pPr>
            <w:r>
              <w:rPr>
                <w:rFonts w:ascii="宋体" w:hAnsi="宋体" w:cs="Arial"/>
                <w:b/>
                <w:snapToGrid w:val="0"/>
                <w:color w:val="auto"/>
                <w:kern w:val="0"/>
                <w:sz w:val="22"/>
                <w:szCs w:val="22"/>
                <w:highlight w:val="none"/>
              </w:rPr>
              <w:t xml:space="preserve">小写（￥）：      </w:t>
            </w:r>
          </w:p>
        </w:tc>
      </w:tr>
    </w:tbl>
    <w:p>
      <w:pPr>
        <w:spacing w:line="460" w:lineRule="exact"/>
        <w:rPr>
          <w:rFonts w:ascii="宋体" w:hAnsi="宋体"/>
          <w:color w:val="auto"/>
          <w:sz w:val="22"/>
          <w:szCs w:val="22"/>
          <w:highlight w:val="none"/>
        </w:rPr>
      </w:pPr>
    </w:p>
    <w:p>
      <w:pPr>
        <w:spacing w:line="380" w:lineRule="exact"/>
        <w:ind w:right="349" w:rightChars="166" w:firstLine="331" w:firstLineChars="150"/>
        <w:rPr>
          <w:rFonts w:ascii="宋体" w:hAnsi="宋体"/>
          <w:b/>
          <w:color w:val="auto"/>
          <w:sz w:val="22"/>
          <w:highlight w:val="none"/>
        </w:rPr>
      </w:pPr>
    </w:p>
    <w:p>
      <w:pPr>
        <w:spacing w:line="380" w:lineRule="exact"/>
        <w:ind w:left="528" w:leftChars="-15" w:hanging="559" w:hangingChars="253"/>
        <w:rPr>
          <w:rFonts w:ascii="宋体" w:hAnsi="宋体" w:cs="Arial"/>
          <w:b/>
          <w:bCs/>
          <w:color w:val="auto"/>
          <w:sz w:val="22"/>
          <w:szCs w:val="22"/>
          <w:highlight w:val="none"/>
        </w:rPr>
      </w:pPr>
      <w:r>
        <w:rPr>
          <w:rFonts w:hint="eastAsia" w:ascii="宋体" w:hAnsi="宋体"/>
          <w:b/>
          <w:color w:val="auto"/>
          <w:sz w:val="22"/>
          <w:highlight w:val="none"/>
        </w:rPr>
        <w:t>说明：</w:t>
      </w:r>
      <w:r>
        <w:rPr>
          <w:rFonts w:hint="eastAsia" w:ascii="宋体" w:hAnsi="宋体" w:cs="Arial"/>
          <w:b/>
          <w:bCs/>
          <w:color w:val="auto"/>
          <w:sz w:val="22"/>
          <w:szCs w:val="22"/>
          <w:highlight w:val="none"/>
        </w:rPr>
        <w:t>1、《开标一览表》中“投标报价”应与</w:t>
      </w:r>
      <w:r>
        <w:rPr>
          <w:rFonts w:hint="eastAsia" w:ascii="宋体" w:hAnsi="宋体"/>
          <w:b/>
          <w:color w:val="auto"/>
          <w:sz w:val="22"/>
          <w:highlight w:val="none"/>
        </w:rPr>
        <w:t>与《分项报价表》中“投标总价”相一致</w:t>
      </w:r>
      <w:r>
        <w:rPr>
          <w:rFonts w:hint="eastAsia" w:ascii="宋体" w:hAnsi="宋体" w:cs="Arial"/>
          <w:b/>
          <w:bCs/>
          <w:color w:val="auto"/>
          <w:sz w:val="22"/>
          <w:szCs w:val="22"/>
          <w:highlight w:val="none"/>
        </w:rPr>
        <w:t xml:space="preserve">。 </w:t>
      </w:r>
    </w:p>
    <w:p>
      <w:pPr>
        <w:spacing w:line="380" w:lineRule="exact"/>
        <w:ind w:firstLine="663" w:firstLineChars="300"/>
        <w:rPr>
          <w:rFonts w:ascii="宋体" w:hAnsi="宋体"/>
          <w:b/>
          <w:color w:val="auto"/>
          <w:sz w:val="22"/>
          <w:highlight w:val="none"/>
        </w:rPr>
      </w:pPr>
      <w:r>
        <w:rPr>
          <w:rFonts w:hint="eastAsia" w:ascii="宋体" w:hAnsi="宋体" w:cs="Arial"/>
          <w:b/>
          <w:bCs/>
          <w:color w:val="auto"/>
          <w:sz w:val="22"/>
          <w:szCs w:val="22"/>
          <w:highlight w:val="none"/>
        </w:rPr>
        <w:t>2、▲</w:t>
      </w:r>
      <w:r>
        <w:rPr>
          <w:rFonts w:hint="eastAsia" w:ascii="宋体" w:hAnsi="宋体" w:cs="Arial"/>
          <w:b/>
          <w:color w:val="auto"/>
          <w:sz w:val="22"/>
          <w:szCs w:val="22"/>
          <w:highlight w:val="none"/>
          <w:u w:val="single"/>
        </w:rPr>
        <w:t>不按要求提供开标一览表的投标文件将被视为未实质性响应采购文件</w:t>
      </w:r>
      <w:r>
        <w:rPr>
          <w:rFonts w:hint="eastAsia" w:ascii="宋体" w:hAnsi="宋体"/>
          <w:b/>
          <w:color w:val="auto"/>
          <w:sz w:val="22"/>
          <w:highlight w:val="none"/>
          <w:u w:val="single"/>
        </w:rPr>
        <w:t>。</w:t>
      </w:r>
    </w:p>
    <w:p>
      <w:pPr>
        <w:spacing w:line="380" w:lineRule="exact"/>
        <w:ind w:firstLine="660" w:firstLineChars="300"/>
        <w:rPr>
          <w:rFonts w:ascii="宋体" w:hAnsi="宋体"/>
          <w:color w:val="auto"/>
          <w:sz w:val="22"/>
          <w:szCs w:val="22"/>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法定代表人或授权代表（签字或盖章）：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日 期：  年  月  日</w:t>
      </w:r>
    </w:p>
    <w:p>
      <w:pPr>
        <w:pStyle w:val="17"/>
        <w:ind w:firstLine="210"/>
        <w:rPr>
          <w:rFonts w:ascii="宋体" w:hAnsi="宋体" w:cs="宋体"/>
          <w:color w:val="auto"/>
          <w:highlight w:val="none"/>
        </w:rPr>
      </w:pPr>
    </w:p>
    <w:p>
      <w:pPr>
        <w:spacing w:line="380" w:lineRule="exact"/>
        <w:jc w:val="center"/>
        <w:rPr>
          <w:rFonts w:ascii="宋体" w:hAnsi="宋体" w:cs="宋体"/>
          <w:b/>
          <w:bCs/>
          <w:color w:val="auto"/>
          <w:sz w:val="28"/>
          <w:szCs w:val="28"/>
          <w:highlight w:val="none"/>
        </w:rPr>
      </w:pPr>
      <w:r>
        <w:rPr>
          <w:rFonts w:hint="eastAsia" w:ascii="宋体" w:hAnsi="宋体" w:cs="宋体"/>
          <w:color w:val="auto"/>
          <w:highlight w:val="none"/>
        </w:rPr>
        <w:br w:type="page"/>
      </w:r>
      <w:r>
        <w:rPr>
          <w:rFonts w:hint="eastAsia" w:ascii="宋体" w:hAnsi="宋体" w:cs="宋体"/>
          <w:b/>
          <w:color w:val="auto"/>
          <w:sz w:val="22"/>
          <w:szCs w:val="22"/>
          <w:highlight w:val="none"/>
        </w:rPr>
        <w:t>（2）</w:t>
      </w:r>
      <w:r>
        <w:rPr>
          <w:rFonts w:hint="eastAsia" w:ascii="宋体" w:hAnsi="宋体" w:cs="宋体"/>
          <w:b/>
          <w:bCs/>
          <w:color w:val="auto"/>
          <w:sz w:val="28"/>
          <w:szCs w:val="28"/>
          <w:highlight w:val="none"/>
        </w:rPr>
        <w:t>分项报价表</w:t>
      </w:r>
    </w:p>
    <w:tbl>
      <w:tblPr>
        <w:tblStyle w:val="35"/>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88"/>
        <w:gridCol w:w="4060"/>
        <w:gridCol w:w="1370"/>
        <w:gridCol w:w="1401"/>
        <w:gridCol w:w="1415"/>
        <w:gridCol w:w="9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top w:val="single" w:color="auto" w:sz="12" w:space="0"/>
              <w:left w:val="single" w:color="auto" w:sz="12" w:space="0"/>
              <w:bottom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4060" w:type="dxa"/>
            <w:tcBorders>
              <w:top w:val="single" w:color="auto" w:sz="12" w:space="0"/>
              <w:bottom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服务项目名称</w:t>
            </w:r>
          </w:p>
        </w:tc>
        <w:tc>
          <w:tcPr>
            <w:tcW w:w="1370" w:type="dxa"/>
            <w:tcBorders>
              <w:top w:val="single" w:color="auto" w:sz="12" w:space="0"/>
              <w:bottom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数量/单位</w:t>
            </w:r>
          </w:p>
        </w:tc>
        <w:tc>
          <w:tcPr>
            <w:tcW w:w="1401" w:type="dxa"/>
            <w:tcBorders>
              <w:top w:val="single" w:color="auto" w:sz="12" w:space="0"/>
              <w:bottom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单价</w:t>
            </w:r>
          </w:p>
        </w:tc>
        <w:tc>
          <w:tcPr>
            <w:tcW w:w="1415" w:type="dxa"/>
            <w:tcBorders>
              <w:top w:val="single" w:color="auto" w:sz="12" w:space="0"/>
              <w:bottom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总价</w:t>
            </w:r>
          </w:p>
        </w:tc>
        <w:tc>
          <w:tcPr>
            <w:tcW w:w="920" w:type="dxa"/>
            <w:tcBorders>
              <w:top w:val="single" w:color="auto" w:sz="12" w:space="0"/>
              <w:bottom w:val="single" w:color="auto" w:sz="12" w:space="0"/>
              <w:right w:val="single" w:color="auto" w:sz="12" w:space="0"/>
            </w:tcBorders>
            <w:vAlign w:val="center"/>
          </w:tcPr>
          <w:p>
            <w:pPr>
              <w:ind w:right="-11"/>
              <w:jc w:val="center"/>
              <w:rPr>
                <w:rFonts w:ascii="宋体" w:hAnsi="宋体" w:cs="宋体"/>
                <w:color w:val="auto"/>
                <w:sz w:val="22"/>
                <w:szCs w:val="22"/>
                <w:highlight w:val="none"/>
              </w:rPr>
            </w:pPr>
            <w:r>
              <w:rPr>
                <w:rFonts w:hint="eastAsia" w:ascii="宋体" w:hAnsi="宋体" w:cs="宋体"/>
                <w:color w:val="auto"/>
                <w:sz w:val="22"/>
                <w:szCs w:val="2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5" w:hRule="atLeast"/>
        </w:trPr>
        <w:tc>
          <w:tcPr>
            <w:tcW w:w="688" w:type="dxa"/>
            <w:tcBorders>
              <w:left w:val="single" w:color="auto" w:sz="12" w:space="0"/>
            </w:tcBorders>
          </w:tcPr>
          <w:p>
            <w:pPr>
              <w:spacing w:before="120" w:beforeLines="50"/>
              <w:ind w:right="-11"/>
              <w:jc w:val="center"/>
              <w:rPr>
                <w:rFonts w:ascii="宋体" w:hAnsi="宋体" w:cs="宋体"/>
                <w:color w:val="auto"/>
                <w:sz w:val="22"/>
                <w:szCs w:val="22"/>
                <w:highlight w:val="none"/>
              </w:rPr>
            </w:pPr>
          </w:p>
        </w:tc>
        <w:tc>
          <w:tcPr>
            <w:tcW w:w="4060" w:type="dxa"/>
          </w:tcPr>
          <w:p>
            <w:pPr>
              <w:spacing w:before="120" w:beforeLines="50"/>
              <w:ind w:right="-11"/>
              <w:jc w:val="center"/>
              <w:rPr>
                <w:rFonts w:ascii="宋体" w:hAnsi="宋体" w:cs="宋体"/>
                <w:color w:val="auto"/>
                <w:sz w:val="22"/>
                <w:szCs w:val="22"/>
                <w:highlight w:val="none"/>
              </w:rPr>
            </w:pPr>
          </w:p>
        </w:tc>
        <w:tc>
          <w:tcPr>
            <w:tcW w:w="1370" w:type="dxa"/>
          </w:tcPr>
          <w:p>
            <w:pPr>
              <w:spacing w:before="120" w:beforeLines="50"/>
              <w:ind w:right="-11"/>
              <w:jc w:val="center"/>
              <w:rPr>
                <w:rFonts w:ascii="宋体" w:hAnsi="宋体" w:cs="宋体"/>
                <w:color w:val="auto"/>
                <w:sz w:val="22"/>
                <w:szCs w:val="22"/>
                <w:highlight w:val="none"/>
              </w:rPr>
            </w:pPr>
          </w:p>
        </w:tc>
        <w:tc>
          <w:tcPr>
            <w:tcW w:w="1401" w:type="dxa"/>
          </w:tcPr>
          <w:p>
            <w:pPr>
              <w:spacing w:before="120" w:beforeLines="50"/>
              <w:ind w:right="-11"/>
              <w:jc w:val="center"/>
              <w:rPr>
                <w:rFonts w:ascii="宋体" w:hAnsi="宋体" w:cs="宋体"/>
                <w:color w:val="auto"/>
                <w:sz w:val="22"/>
                <w:szCs w:val="22"/>
                <w:highlight w:val="none"/>
              </w:rPr>
            </w:pPr>
          </w:p>
        </w:tc>
        <w:tc>
          <w:tcPr>
            <w:tcW w:w="1415" w:type="dxa"/>
          </w:tcPr>
          <w:p>
            <w:pPr>
              <w:spacing w:before="120" w:beforeLines="50"/>
              <w:ind w:right="-11"/>
              <w:jc w:val="center"/>
              <w:rPr>
                <w:rFonts w:ascii="宋体" w:hAnsi="宋体" w:cs="宋体"/>
                <w:color w:val="auto"/>
                <w:sz w:val="22"/>
                <w:szCs w:val="22"/>
                <w:highlight w:val="none"/>
              </w:rPr>
            </w:pPr>
          </w:p>
        </w:tc>
        <w:tc>
          <w:tcPr>
            <w:tcW w:w="920" w:type="dxa"/>
            <w:tcBorders>
              <w:right w:val="single" w:color="auto" w:sz="12" w:space="0"/>
            </w:tcBorders>
          </w:tcPr>
          <w:p>
            <w:pPr>
              <w:spacing w:before="120" w:beforeLines="50"/>
              <w:ind w:right="-11"/>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748" w:type="dxa"/>
            <w:gridSpan w:val="2"/>
            <w:tcBorders>
              <w:left w:val="single" w:color="auto" w:sz="12" w:space="0"/>
              <w:bottom w:val="single" w:color="auto" w:sz="12" w:space="0"/>
            </w:tcBorders>
            <w:vAlign w:val="center"/>
          </w:tcPr>
          <w:p>
            <w:pPr>
              <w:spacing w:before="120" w:beforeLines="50" w:after="120" w:afterLines="50"/>
              <w:ind w:right="-10"/>
              <w:rPr>
                <w:rFonts w:ascii="宋体" w:hAnsi="宋体" w:cs="宋体"/>
                <w:color w:val="auto"/>
                <w:sz w:val="22"/>
                <w:szCs w:val="22"/>
                <w:highlight w:val="none"/>
              </w:rPr>
            </w:pPr>
            <w:r>
              <w:rPr>
                <w:rFonts w:hint="eastAsia" w:ascii="宋体" w:hAnsi="宋体" w:cs="宋体"/>
                <w:color w:val="auto"/>
                <w:sz w:val="22"/>
                <w:szCs w:val="22"/>
                <w:highlight w:val="none"/>
              </w:rPr>
              <w:t>总价</w:t>
            </w:r>
          </w:p>
        </w:tc>
        <w:tc>
          <w:tcPr>
            <w:tcW w:w="5106" w:type="dxa"/>
            <w:gridSpan w:val="4"/>
            <w:tcBorders>
              <w:bottom w:val="single" w:color="auto" w:sz="12" w:space="0"/>
              <w:right w:val="single" w:color="auto" w:sz="12" w:space="0"/>
            </w:tcBorders>
            <w:vAlign w:val="center"/>
          </w:tcPr>
          <w:p>
            <w:pPr>
              <w:spacing w:before="120" w:beforeLines="50" w:after="120" w:afterLines="50"/>
              <w:ind w:right="-10"/>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748" w:type="dxa"/>
            <w:gridSpan w:val="2"/>
            <w:tcBorders>
              <w:left w:val="single" w:color="auto" w:sz="12" w:space="0"/>
              <w:bottom w:val="single" w:color="auto" w:sz="12" w:space="0"/>
            </w:tcBorders>
            <w:vAlign w:val="center"/>
          </w:tcPr>
          <w:p>
            <w:pPr>
              <w:spacing w:before="120" w:beforeLines="50" w:after="120" w:afterLines="50"/>
              <w:ind w:right="-10"/>
              <w:rPr>
                <w:rFonts w:ascii="宋体" w:hAnsi="宋体" w:cs="宋体"/>
                <w:color w:val="auto"/>
                <w:sz w:val="22"/>
                <w:szCs w:val="22"/>
                <w:highlight w:val="none"/>
              </w:rPr>
            </w:pPr>
            <w:r>
              <w:rPr>
                <w:rFonts w:hint="eastAsia" w:ascii="宋体" w:hAnsi="宋体" w:cs="宋体"/>
                <w:color w:val="auto"/>
                <w:sz w:val="22"/>
                <w:szCs w:val="22"/>
                <w:highlight w:val="none"/>
              </w:rPr>
              <w:t>…</w:t>
            </w:r>
          </w:p>
        </w:tc>
        <w:tc>
          <w:tcPr>
            <w:tcW w:w="5106" w:type="dxa"/>
            <w:gridSpan w:val="4"/>
            <w:tcBorders>
              <w:bottom w:val="single" w:color="auto" w:sz="12" w:space="0"/>
              <w:right w:val="single" w:color="auto" w:sz="12" w:space="0"/>
            </w:tcBorders>
            <w:vAlign w:val="center"/>
          </w:tcPr>
          <w:p>
            <w:pPr>
              <w:spacing w:before="120" w:beforeLines="50" w:after="120" w:afterLines="50"/>
              <w:ind w:right="-10"/>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748" w:type="dxa"/>
            <w:gridSpan w:val="2"/>
            <w:tcBorders>
              <w:left w:val="single" w:color="auto" w:sz="12" w:space="0"/>
            </w:tcBorders>
            <w:vAlign w:val="center"/>
          </w:tcPr>
          <w:p>
            <w:pPr>
              <w:spacing w:before="120" w:beforeLines="50" w:after="120" w:afterLines="50"/>
              <w:ind w:right="-10"/>
              <w:rPr>
                <w:rFonts w:ascii="宋体" w:hAnsi="宋体" w:cs="宋体"/>
                <w:color w:val="auto"/>
                <w:sz w:val="22"/>
                <w:szCs w:val="22"/>
                <w:highlight w:val="none"/>
              </w:rPr>
            </w:pPr>
            <w:r>
              <w:rPr>
                <w:rFonts w:hint="eastAsia" w:ascii="宋体" w:hAnsi="宋体" w:cs="宋体"/>
                <w:color w:val="auto"/>
                <w:sz w:val="22"/>
                <w:szCs w:val="22"/>
                <w:highlight w:val="none"/>
              </w:rPr>
              <w:t>其他相关费用</w:t>
            </w:r>
          </w:p>
        </w:tc>
        <w:tc>
          <w:tcPr>
            <w:tcW w:w="5106" w:type="dxa"/>
            <w:gridSpan w:val="4"/>
            <w:tcBorders>
              <w:right w:val="single" w:color="auto" w:sz="12" w:space="0"/>
            </w:tcBorders>
            <w:vAlign w:val="center"/>
          </w:tcPr>
          <w:p>
            <w:pPr>
              <w:spacing w:before="120" w:beforeLines="50" w:after="120" w:afterLines="50"/>
              <w:ind w:right="-10"/>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05" w:hRule="atLeast"/>
        </w:trPr>
        <w:tc>
          <w:tcPr>
            <w:tcW w:w="4748" w:type="dxa"/>
            <w:gridSpan w:val="2"/>
            <w:tcBorders>
              <w:left w:val="single" w:color="auto" w:sz="12" w:space="0"/>
              <w:bottom w:val="single" w:color="auto" w:sz="12" w:space="0"/>
            </w:tcBorders>
            <w:vAlign w:val="center"/>
          </w:tcPr>
          <w:p>
            <w:pPr>
              <w:spacing w:before="120" w:beforeLines="50" w:after="120" w:afterLines="50"/>
              <w:ind w:right="-10"/>
              <w:rPr>
                <w:rFonts w:ascii="宋体" w:hAnsi="宋体" w:cs="宋体"/>
                <w:color w:val="auto"/>
                <w:sz w:val="22"/>
                <w:szCs w:val="22"/>
                <w:highlight w:val="none"/>
              </w:rPr>
            </w:pPr>
            <w:r>
              <w:rPr>
                <w:rFonts w:hint="eastAsia" w:ascii="宋体" w:hAnsi="宋体" w:cs="宋体"/>
                <w:color w:val="auto"/>
                <w:sz w:val="22"/>
                <w:szCs w:val="22"/>
                <w:highlight w:val="none"/>
              </w:rPr>
              <w:t>投标总价</w:t>
            </w:r>
          </w:p>
        </w:tc>
        <w:tc>
          <w:tcPr>
            <w:tcW w:w="5106" w:type="dxa"/>
            <w:gridSpan w:val="4"/>
            <w:tcBorders>
              <w:bottom w:val="single" w:color="auto" w:sz="12" w:space="0"/>
              <w:right w:val="single" w:color="auto" w:sz="12" w:space="0"/>
            </w:tcBorders>
            <w:vAlign w:val="center"/>
          </w:tcPr>
          <w:p>
            <w:pPr>
              <w:spacing w:before="120" w:beforeLines="50" w:after="120" w:afterLines="50"/>
              <w:ind w:right="-10"/>
              <w:rPr>
                <w:rFonts w:ascii="宋体" w:hAnsi="宋体" w:cs="宋体"/>
                <w:color w:val="auto"/>
                <w:sz w:val="22"/>
                <w:szCs w:val="22"/>
                <w:highlight w:val="none"/>
              </w:rPr>
            </w:pPr>
          </w:p>
        </w:tc>
      </w:tr>
    </w:tbl>
    <w:p>
      <w:pPr>
        <w:spacing w:line="380" w:lineRule="exact"/>
        <w:jc w:val="center"/>
        <w:rPr>
          <w:rFonts w:ascii="宋体" w:hAnsi="宋体" w:cs="宋体"/>
          <w:b/>
          <w:bCs/>
          <w:color w:val="auto"/>
          <w:sz w:val="28"/>
          <w:szCs w:val="28"/>
          <w:highlight w:val="none"/>
        </w:rPr>
      </w:pPr>
    </w:p>
    <w:p>
      <w:pPr>
        <w:spacing w:line="360" w:lineRule="auto"/>
        <w:rPr>
          <w:rFonts w:ascii="宋体" w:hAnsi="宋体" w:cs="宋体"/>
          <w:color w:val="auto"/>
          <w:kern w:val="0"/>
          <w:szCs w:val="21"/>
          <w:highlight w:val="none"/>
        </w:rPr>
      </w:pPr>
    </w:p>
    <w:p>
      <w:pPr>
        <w:spacing w:line="360" w:lineRule="exact"/>
        <w:rPr>
          <w:rFonts w:ascii="宋体" w:hAnsi="宋体" w:cs="宋体"/>
          <w:b/>
          <w:color w:val="auto"/>
          <w:sz w:val="22"/>
          <w:szCs w:val="22"/>
          <w:highlight w:val="none"/>
        </w:rPr>
      </w:pPr>
      <w:r>
        <w:rPr>
          <w:rFonts w:hint="eastAsia" w:ascii="宋体" w:hAnsi="宋体" w:cs="宋体"/>
          <w:b/>
          <w:bCs/>
          <w:color w:val="auto"/>
          <w:sz w:val="22"/>
          <w:szCs w:val="22"/>
          <w:highlight w:val="none"/>
        </w:rPr>
        <w:t>说明：</w:t>
      </w:r>
      <w:r>
        <w:rPr>
          <w:rFonts w:hint="eastAsia" w:ascii="宋体" w:hAnsi="宋体" w:cs="宋体"/>
          <w:b/>
          <w:color w:val="auto"/>
          <w:sz w:val="22"/>
          <w:szCs w:val="22"/>
          <w:highlight w:val="none"/>
        </w:rPr>
        <w:t>1、此表内投标总价应与（1)《开标一览表》投标报价相一致。</w:t>
      </w:r>
    </w:p>
    <w:p>
      <w:pPr>
        <w:spacing w:line="360" w:lineRule="exact"/>
        <w:rPr>
          <w:rFonts w:ascii="宋体" w:hAnsi="宋体" w:cs="宋体"/>
          <w:b/>
          <w:color w:val="auto"/>
          <w:sz w:val="22"/>
          <w:szCs w:val="22"/>
          <w:highlight w:val="none"/>
        </w:rPr>
      </w:pPr>
      <w:r>
        <w:rPr>
          <w:rFonts w:hint="eastAsia" w:ascii="宋体" w:hAnsi="宋体" w:cs="宋体"/>
          <w:b/>
          <w:color w:val="auto"/>
          <w:sz w:val="22"/>
          <w:szCs w:val="22"/>
          <w:highlight w:val="none"/>
        </w:rPr>
        <w:t>2、</w:t>
      </w:r>
      <w:r>
        <w:rPr>
          <w:rFonts w:hint="eastAsia" w:ascii="宋体" w:hAnsi="宋体" w:cs="宋体"/>
          <w:b/>
          <w:bCs/>
          <w:color w:val="auto"/>
          <w:sz w:val="22"/>
          <w:szCs w:val="22"/>
          <w:highlight w:val="none"/>
        </w:rPr>
        <w:t>▲</w:t>
      </w:r>
      <w:r>
        <w:rPr>
          <w:rFonts w:hint="eastAsia" w:ascii="宋体" w:hAnsi="宋体" w:cs="宋体"/>
          <w:b/>
          <w:color w:val="auto"/>
          <w:sz w:val="22"/>
          <w:szCs w:val="22"/>
          <w:highlight w:val="none"/>
          <w:u w:val="single"/>
        </w:rPr>
        <w:t>不提供“分项报价表”的，视为没有实质性响应采购文件要求。</w:t>
      </w:r>
    </w:p>
    <w:p>
      <w:pPr>
        <w:spacing w:line="360" w:lineRule="exact"/>
        <w:ind w:left="325" w:hanging="325" w:hangingChars="147"/>
        <w:rPr>
          <w:rFonts w:ascii="宋体" w:hAnsi="宋体" w:cs="宋体"/>
          <w:b/>
          <w:color w:val="auto"/>
          <w:sz w:val="22"/>
          <w:szCs w:val="22"/>
          <w:highlight w:val="none"/>
        </w:rPr>
      </w:pPr>
      <w:r>
        <w:rPr>
          <w:rFonts w:hint="eastAsia" w:ascii="宋体" w:hAnsi="宋体" w:cs="宋体"/>
          <w:b/>
          <w:color w:val="auto"/>
          <w:sz w:val="22"/>
          <w:szCs w:val="22"/>
          <w:highlight w:val="none"/>
        </w:rPr>
        <w:t>3、如果免费请在该备注栏内注明“免”，如果含在产品价格中则填“含”，如无此项内容则填“无”，不留空白。</w:t>
      </w:r>
    </w:p>
    <w:p>
      <w:pPr>
        <w:spacing w:line="360" w:lineRule="auto"/>
        <w:ind w:firstLine="420" w:firstLineChars="200"/>
        <w:rPr>
          <w:rFonts w:ascii="宋体" w:hAnsi="宋体" w:cs="宋体"/>
          <w:color w:val="auto"/>
          <w:szCs w:val="21"/>
          <w:highlight w:val="none"/>
        </w:rPr>
      </w:pPr>
    </w:p>
    <w:p>
      <w:pPr>
        <w:spacing w:line="380" w:lineRule="exact"/>
        <w:ind w:firstLine="420" w:firstLineChars="200"/>
        <w:rPr>
          <w:rFonts w:ascii="宋体" w:hAnsi="宋体" w:cs="宋体"/>
          <w:color w:val="auto"/>
          <w:szCs w:val="21"/>
          <w:highlight w:val="none"/>
        </w:rPr>
      </w:pPr>
    </w:p>
    <w:p>
      <w:pPr>
        <w:spacing w:line="380" w:lineRule="exact"/>
        <w:rPr>
          <w:rFonts w:ascii="宋体" w:hAnsi="宋体"/>
          <w:color w:val="auto"/>
          <w:sz w:val="22"/>
          <w:szCs w:val="22"/>
          <w:highlight w:val="none"/>
        </w:rPr>
      </w:pPr>
      <w:r>
        <w:rPr>
          <w:rFonts w:hint="eastAsia" w:ascii="宋体" w:hAnsi="宋体"/>
          <w:color w:val="auto"/>
          <w:sz w:val="22"/>
          <w:szCs w:val="22"/>
          <w:highlight w:val="none"/>
        </w:rPr>
        <w:t>投标人全称（盖章）：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法定代表人或授权代表（签字或盖章）：</w:t>
      </w:r>
    </w:p>
    <w:p>
      <w:pPr>
        <w:spacing w:line="380" w:lineRule="exact"/>
        <w:rPr>
          <w:rFonts w:ascii="宋体" w:hAnsi="宋体"/>
          <w:color w:val="auto"/>
          <w:sz w:val="22"/>
          <w:szCs w:val="22"/>
          <w:highlight w:val="none"/>
        </w:rPr>
      </w:pPr>
      <w:r>
        <w:rPr>
          <w:rFonts w:hint="eastAsia" w:ascii="宋体" w:hAnsi="宋体"/>
          <w:color w:val="auto"/>
          <w:sz w:val="22"/>
          <w:szCs w:val="22"/>
          <w:highlight w:val="none"/>
        </w:rPr>
        <w:t>日 期：  年  月  日</w:t>
      </w:r>
    </w:p>
    <w:p>
      <w:pPr>
        <w:spacing w:line="380" w:lineRule="exact"/>
        <w:ind w:firstLine="4400" w:firstLineChars="2000"/>
        <w:rPr>
          <w:rFonts w:ascii="宋体" w:hAnsi="宋体" w:cs="宋体"/>
          <w:color w:val="auto"/>
          <w:sz w:val="22"/>
          <w:szCs w:val="22"/>
          <w:highlight w:val="none"/>
        </w:rPr>
      </w:pPr>
    </w:p>
    <w:p>
      <w:pPr>
        <w:pStyle w:val="17"/>
        <w:ind w:firstLine="0" w:firstLineChars="0"/>
        <w:rPr>
          <w:rFonts w:ascii="宋体" w:hAnsi="宋体" w:cs="宋体"/>
          <w:color w:val="auto"/>
          <w:highlight w:val="none"/>
        </w:rPr>
        <w:sectPr>
          <w:pgSz w:w="11906" w:h="16838"/>
          <w:pgMar w:top="1134" w:right="1134" w:bottom="1134" w:left="1134" w:header="851" w:footer="850" w:gutter="0"/>
          <w:cols w:space="720" w:num="1"/>
          <w:titlePg/>
          <w:docGrid w:linePitch="312" w:charSpace="0"/>
        </w:sectPr>
      </w:pPr>
    </w:p>
    <w:p>
      <w:pPr>
        <w:pStyle w:val="17"/>
        <w:ind w:firstLine="0" w:firstLineChars="0"/>
        <w:rPr>
          <w:rFonts w:ascii="宋体" w:hAnsi="宋体" w:cs="宋体"/>
          <w:color w:val="auto"/>
          <w:highlight w:val="none"/>
        </w:rPr>
      </w:pPr>
      <w:r>
        <w:rPr>
          <w:rFonts w:hint="eastAsia" w:ascii="宋体" w:hAnsi="宋体" w:cs="宋体"/>
          <w:b/>
          <w:bCs/>
          <w:color w:val="auto"/>
          <w:sz w:val="22"/>
          <w:szCs w:val="22"/>
          <w:highlight w:val="none"/>
        </w:rPr>
        <w:t>附件三</w:t>
      </w:r>
    </w:p>
    <w:p>
      <w:pPr>
        <w:spacing w:line="460" w:lineRule="exact"/>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投 标 函</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浙江东方职业技术学院：</w:t>
      </w:r>
    </w:p>
    <w:p>
      <w:pPr>
        <w:spacing w:line="420" w:lineRule="exact"/>
        <w:rPr>
          <w:rFonts w:ascii="宋体" w:hAnsi="宋体" w:cs="宋体"/>
          <w:color w:val="auto"/>
          <w:sz w:val="22"/>
          <w:szCs w:val="22"/>
          <w:highlight w:val="none"/>
        </w:rPr>
      </w:pPr>
      <w:r>
        <w:rPr>
          <w:rFonts w:hint="eastAsia" w:ascii="宋体" w:hAnsi="宋体" w:cs="宋体"/>
          <w:color w:val="auto"/>
          <w:sz w:val="22"/>
          <w:szCs w:val="22"/>
          <w:highlight w:val="none"/>
        </w:rPr>
        <w:t>温州元信工程项目管理有限公司：</w:t>
      </w:r>
    </w:p>
    <w:p>
      <w:pPr>
        <w:spacing w:line="420" w:lineRule="exact"/>
        <w:ind w:firstLine="440" w:firstLineChars="200"/>
        <w:rPr>
          <w:rFonts w:ascii="宋体" w:hAnsi="宋体" w:cs="宋体"/>
          <w:color w:val="auto"/>
          <w:sz w:val="22"/>
          <w:szCs w:val="22"/>
          <w:highlight w:val="none"/>
        </w:rPr>
      </w:pPr>
      <w:r>
        <w:rPr>
          <w:rFonts w:hint="eastAsia" w:ascii="宋体" w:hAnsi="宋体" w:cs="宋体"/>
          <w:color w:val="auto"/>
          <w:sz w:val="22"/>
          <w:szCs w:val="22"/>
          <w:highlight w:val="none"/>
        </w:rPr>
        <w:t>根据贵单位为</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项目（采购编号：</w:t>
      </w:r>
      <w:r>
        <w:rPr>
          <w:rFonts w:hint="eastAsia" w:ascii="宋体" w:hAnsi="宋体" w:cs="宋体"/>
          <w:b/>
          <w:color w:val="auto"/>
          <w:sz w:val="22"/>
          <w:szCs w:val="22"/>
          <w:highlight w:val="none"/>
          <w:u w:val="single"/>
        </w:rPr>
        <w:t xml:space="preserve">               </w:t>
      </w:r>
      <w:r>
        <w:rPr>
          <w:rFonts w:hint="eastAsia" w:ascii="宋体" w:hAnsi="宋体" w:cs="宋体"/>
          <w:b/>
          <w:color w:val="auto"/>
          <w:sz w:val="22"/>
          <w:szCs w:val="22"/>
          <w:highlight w:val="none"/>
        </w:rPr>
        <w:t xml:space="preserve"> </w:t>
      </w:r>
      <w:r>
        <w:rPr>
          <w:rFonts w:hint="eastAsia" w:ascii="宋体" w:hAnsi="宋体" w:cs="宋体"/>
          <w:color w:val="auto"/>
          <w:sz w:val="22"/>
          <w:szCs w:val="22"/>
          <w:highlight w:val="none"/>
        </w:rPr>
        <w:t>）的投标邀请，我方</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（投标人名称）作为投标人正式授权</w:t>
      </w:r>
      <w:r>
        <w:rPr>
          <w:rFonts w:hint="eastAsia" w:ascii="宋体" w:hAnsi="宋体" w:cs="宋体"/>
          <w:color w:val="auto"/>
          <w:sz w:val="22"/>
          <w:szCs w:val="22"/>
          <w:highlight w:val="none"/>
          <w:u w:val="single"/>
        </w:rPr>
        <w:t xml:space="preserve">　           </w:t>
      </w:r>
      <w:r>
        <w:rPr>
          <w:rFonts w:hint="eastAsia" w:ascii="宋体" w:hAnsi="宋体" w:cs="宋体"/>
          <w:color w:val="auto"/>
          <w:sz w:val="22"/>
          <w:szCs w:val="22"/>
          <w:highlight w:val="none"/>
        </w:rPr>
        <w:t>（授权代表全名，职务）代表我方处理有关本投标的一切事宜。</w:t>
      </w:r>
    </w:p>
    <w:p>
      <w:pPr>
        <w:pStyle w:val="10"/>
        <w:spacing w:line="420" w:lineRule="exact"/>
        <w:ind w:firstLine="440"/>
        <w:rPr>
          <w:rFonts w:ascii="宋体" w:hAnsi="宋体" w:cs="宋体"/>
          <w:color w:val="auto"/>
          <w:sz w:val="22"/>
          <w:highlight w:val="none"/>
        </w:rPr>
      </w:pPr>
      <w:r>
        <w:rPr>
          <w:rFonts w:hint="eastAsia" w:ascii="宋体" w:hAnsi="宋体" w:cs="宋体"/>
          <w:color w:val="auto"/>
          <w:sz w:val="22"/>
          <w:szCs w:val="22"/>
          <w:highlight w:val="none"/>
        </w:rPr>
        <w:t>在此提交的投标文件中，包括如下内</w:t>
      </w:r>
      <w:r>
        <w:rPr>
          <w:rFonts w:hint="eastAsia" w:ascii="宋体" w:hAnsi="宋体" w:cs="宋体"/>
          <w:color w:val="auto"/>
          <w:sz w:val="22"/>
          <w:highlight w:val="none"/>
        </w:rPr>
        <w:t>容：</w:t>
      </w:r>
    </w:p>
    <w:p>
      <w:pPr>
        <w:spacing w:line="3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1、按“投标人须知”要求编制的投标文件资格文件【正本一份，副本五份】；</w:t>
      </w:r>
    </w:p>
    <w:p>
      <w:pPr>
        <w:spacing w:line="3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2、按“投标人须知”要求编制的投标文件商务技术文件【正本一份，副本五份】；</w:t>
      </w:r>
    </w:p>
    <w:p>
      <w:pPr>
        <w:spacing w:line="360" w:lineRule="exact"/>
        <w:ind w:firstLine="550" w:firstLineChars="250"/>
        <w:rPr>
          <w:rFonts w:ascii="宋体" w:hAnsi="宋体" w:cs="宋体"/>
          <w:color w:val="auto"/>
          <w:sz w:val="22"/>
          <w:highlight w:val="none"/>
        </w:rPr>
      </w:pPr>
      <w:r>
        <w:rPr>
          <w:rFonts w:hint="eastAsia" w:ascii="宋体" w:hAnsi="宋体" w:cs="宋体"/>
          <w:color w:val="auto"/>
          <w:sz w:val="22"/>
          <w:highlight w:val="none"/>
        </w:rPr>
        <w:t>3、按“投标人须知”要求编制的投标文件报价文件【正本一份，副本五份】；</w:t>
      </w:r>
    </w:p>
    <w:p>
      <w:pPr>
        <w:spacing w:line="360" w:lineRule="exact"/>
        <w:ind w:firstLine="550" w:firstLineChars="250"/>
        <w:rPr>
          <w:color w:val="auto"/>
          <w:highlight w:val="none"/>
        </w:rPr>
      </w:pPr>
      <w:r>
        <w:rPr>
          <w:rFonts w:hint="eastAsia" w:ascii="宋体" w:hAnsi="宋体" w:cs="hakuyoxingshu7000"/>
          <w:color w:val="auto"/>
          <w:sz w:val="22"/>
          <w:highlight w:val="none"/>
        </w:rPr>
        <w:t>4、按“投标人须知”要求编制的投标文件电子投标文件</w:t>
      </w:r>
      <w:r>
        <w:rPr>
          <w:rFonts w:hint="eastAsia" w:ascii="宋体" w:hAnsi="宋体"/>
          <w:color w:val="auto"/>
          <w:sz w:val="22"/>
          <w:highlight w:val="none"/>
        </w:rPr>
        <w:t>【U盘一份】</w:t>
      </w:r>
      <w:r>
        <w:rPr>
          <w:rFonts w:hint="eastAsia" w:ascii="宋体" w:hAnsi="宋体" w:cs="hakuyoxingshu7000"/>
          <w:color w:val="auto"/>
          <w:sz w:val="22"/>
          <w:highlight w:val="none"/>
        </w:rPr>
        <w:t>；</w:t>
      </w:r>
    </w:p>
    <w:p>
      <w:pPr>
        <w:spacing w:line="420" w:lineRule="exact"/>
        <w:ind w:firstLine="440" w:firstLineChars="200"/>
        <w:rPr>
          <w:rFonts w:ascii="宋体" w:hAnsi="宋体" w:cs="宋体"/>
          <w:color w:val="auto"/>
          <w:sz w:val="22"/>
          <w:highlight w:val="none"/>
        </w:rPr>
      </w:pPr>
      <w:r>
        <w:rPr>
          <w:rFonts w:hint="eastAsia" w:ascii="宋体" w:hAnsi="宋体" w:cs="宋体"/>
          <w:color w:val="auto"/>
          <w:sz w:val="22"/>
          <w:highlight w:val="none"/>
        </w:rPr>
        <w:t>我方己完全明白采购文件的所有条款要求，并重申以下几点：</w:t>
      </w:r>
    </w:p>
    <w:p>
      <w:pPr>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（一）本投标文件的有效期自投标截止日起</w:t>
      </w:r>
      <w:r>
        <w:rPr>
          <w:rFonts w:hint="eastAsia" w:ascii="宋体" w:hAnsi="宋体" w:cs="宋体"/>
          <w:b/>
          <w:color w:val="auto"/>
          <w:sz w:val="22"/>
          <w:highlight w:val="none"/>
        </w:rPr>
        <w:t xml:space="preserve"> </w:t>
      </w:r>
      <w:r>
        <w:rPr>
          <w:rFonts w:hint="eastAsia" w:ascii="宋体" w:hAnsi="宋体" w:cs="宋体"/>
          <w:b/>
          <w:color w:val="auto"/>
          <w:sz w:val="22"/>
          <w:highlight w:val="none"/>
          <w:u w:val="single"/>
        </w:rPr>
        <w:t xml:space="preserve"> 90 </w:t>
      </w:r>
      <w:r>
        <w:rPr>
          <w:rFonts w:hint="eastAsia" w:ascii="宋体" w:hAnsi="宋体" w:cs="宋体"/>
          <w:b/>
          <w:color w:val="auto"/>
          <w:sz w:val="22"/>
          <w:highlight w:val="none"/>
        </w:rPr>
        <w:t>天内</w:t>
      </w:r>
      <w:r>
        <w:rPr>
          <w:rFonts w:hint="eastAsia" w:ascii="宋体" w:hAnsi="宋体" w:cs="宋体"/>
          <w:color w:val="auto"/>
          <w:sz w:val="22"/>
          <w:highlight w:val="none"/>
        </w:rPr>
        <w:t>有效，如中标，有效期将延至合同终止日为止；</w:t>
      </w:r>
    </w:p>
    <w:p>
      <w:pPr>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（二）我方已详细研究了采购文件的所有内容包括修改书（如有）和所有已提供的参考资料以及有关附件，我方完全理解并同意放弃在此方面提出含糊意见或误解的一切权力；</w:t>
      </w:r>
    </w:p>
    <w:p>
      <w:pPr>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（三）我方明白并愿意在规定的开标时间之后，投标人在投标有效期内撤回投标，其投标保证金将被贵方没收；</w:t>
      </w:r>
    </w:p>
    <w:p>
      <w:pPr>
        <w:spacing w:line="420" w:lineRule="exact"/>
        <w:ind w:left="359" w:leftChars="171"/>
        <w:rPr>
          <w:rFonts w:ascii="宋体" w:hAnsi="宋体" w:cs="宋体"/>
          <w:color w:val="auto"/>
          <w:sz w:val="22"/>
          <w:highlight w:val="none"/>
        </w:rPr>
      </w:pPr>
      <w:r>
        <w:rPr>
          <w:rFonts w:hint="eastAsia" w:ascii="宋体" w:hAnsi="宋体" w:cs="宋体"/>
          <w:color w:val="auto"/>
          <w:sz w:val="22"/>
          <w:highlight w:val="none"/>
        </w:rPr>
        <w:t>（四）我方同意提供按照贵方可能要求的与投标有关的一切数据或资料；</w:t>
      </w:r>
    </w:p>
    <w:p>
      <w:pPr>
        <w:spacing w:line="420" w:lineRule="exact"/>
        <w:ind w:left="359" w:leftChars="171"/>
        <w:rPr>
          <w:rFonts w:ascii="宋体" w:hAnsi="宋体" w:cs="宋体"/>
          <w:color w:val="auto"/>
          <w:sz w:val="22"/>
          <w:highlight w:val="none"/>
        </w:rPr>
      </w:pPr>
      <w:r>
        <w:rPr>
          <w:rFonts w:hint="eastAsia" w:ascii="宋体" w:hAnsi="宋体" w:cs="宋体"/>
          <w:color w:val="auto"/>
          <w:sz w:val="22"/>
          <w:highlight w:val="none"/>
        </w:rPr>
        <w:t>（五）我方理解贵方不一定接受最低报价。</w:t>
      </w:r>
    </w:p>
    <w:p>
      <w:pPr>
        <w:spacing w:line="420" w:lineRule="exact"/>
        <w:ind w:left="1019" w:leftChars="171" w:hanging="660" w:hangingChars="300"/>
        <w:rPr>
          <w:rFonts w:ascii="宋体" w:hAnsi="宋体" w:cs="宋体"/>
          <w:color w:val="auto"/>
          <w:sz w:val="22"/>
          <w:highlight w:val="none"/>
        </w:rPr>
      </w:pPr>
      <w:r>
        <w:rPr>
          <w:rFonts w:hint="eastAsia" w:ascii="宋体" w:hAnsi="宋体" w:cs="宋体"/>
          <w:color w:val="auto"/>
          <w:sz w:val="22"/>
          <w:highlight w:val="none"/>
        </w:rPr>
        <w:t>（六）我方如果中标，将保证履行采购文件以及采购文件修改书（如有）中的全部责任和义务，按质、按量、按期完成《协议书》中的全部任务。</w:t>
      </w:r>
    </w:p>
    <w:p>
      <w:pPr>
        <w:spacing w:line="420" w:lineRule="exact"/>
        <w:ind w:left="315"/>
        <w:rPr>
          <w:rFonts w:ascii="宋体" w:hAnsi="宋体" w:cs="宋体"/>
          <w:color w:val="auto"/>
          <w:sz w:val="22"/>
          <w:szCs w:val="22"/>
          <w:highlight w:val="none"/>
        </w:rPr>
      </w:pPr>
      <w:r>
        <w:rPr>
          <w:rFonts w:hint="eastAsia" w:ascii="宋体" w:hAnsi="宋体" w:cs="宋体"/>
          <w:color w:val="auto"/>
          <w:sz w:val="22"/>
          <w:highlight w:val="none"/>
        </w:rPr>
        <w:t>（七）所有与本投标有关的函件请发往下列地址：</w:t>
      </w: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地址</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电话</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u w:val="single"/>
        </w:rPr>
      </w:pPr>
      <w:r>
        <w:rPr>
          <w:rFonts w:hint="eastAsia" w:ascii="宋体" w:hAnsi="宋体" w:cs="宋体"/>
          <w:color w:val="auto"/>
          <w:sz w:val="22"/>
          <w:szCs w:val="22"/>
          <w:highlight w:val="none"/>
        </w:rPr>
        <w:t xml:space="preserve">   传真</w:t>
      </w:r>
      <w:r>
        <w:rPr>
          <w:rFonts w:hint="eastAsia" w:ascii="宋体" w:hAnsi="宋体" w:cs="宋体"/>
          <w:color w:val="auto"/>
          <w:sz w:val="22"/>
          <w:szCs w:val="22"/>
          <w:highlight w:val="none"/>
          <w:u w:val="single"/>
        </w:rPr>
        <w:t xml:space="preserve">                           </w:t>
      </w:r>
    </w:p>
    <w:p>
      <w:pPr>
        <w:spacing w:line="420" w:lineRule="exact"/>
        <w:ind w:firstLine="770" w:firstLineChars="350"/>
        <w:rPr>
          <w:rFonts w:ascii="宋体" w:hAnsi="宋体" w:cs="宋体"/>
          <w:color w:val="auto"/>
          <w:sz w:val="22"/>
          <w:szCs w:val="22"/>
          <w:highlight w:val="none"/>
          <w:u w:val="single"/>
        </w:rPr>
      </w:pPr>
      <w:r>
        <w:rPr>
          <w:rFonts w:hint="eastAsia" w:ascii="宋体" w:hAnsi="宋体" w:cs="宋体"/>
          <w:color w:val="auto"/>
          <w:sz w:val="22"/>
          <w:szCs w:val="22"/>
          <w:highlight w:val="none"/>
        </w:rPr>
        <w:t>电子邮件</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rPr>
      </w:pP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投标人名称（盖章）</w:t>
      </w:r>
      <w:r>
        <w:rPr>
          <w:rFonts w:hint="eastAsia" w:ascii="宋体" w:hAnsi="宋体" w:cs="宋体"/>
          <w:color w:val="auto"/>
          <w:sz w:val="22"/>
          <w:szCs w:val="22"/>
          <w:highlight w:val="none"/>
          <w:u w:val="single"/>
        </w:rPr>
        <w:t xml:space="preserve">                  </w:t>
      </w:r>
    </w:p>
    <w:p>
      <w:pPr>
        <w:spacing w:line="420" w:lineRule="exact"/>
        <w:ind w:firstLine="435"/>
        <w:rPr>
          <w:rFonts w:ascii="宋体" w:hAnsi="宋体" w:cs="宋体"/>
          <w:color w:val="auto"/>
          <w:sz w:val="22"/>
          <w:szCs w:val="22"/>
          <w:highlight w:val="none"/>
        </w:rPr>
      </w:pPr>
      <w:r>
        <w:rPr>
          <w:rFonts w:hint="eastAsia" w:ascii="宋体" w:hAnsi="宋体" w:cs="宋体"/>
          <w:color w:val="auto"/>
          <w:sz w:val="22"/>
          <w:szCs w:val="22"/>
          <w:highlight w:val="none"/>
        </w:rPr>
        <w:t xml:space="preserve">                                   法定代表人或授权代表（签字或盖章）</w:t>
      </w:r>
      <w:r>
        <w:rPr>
          <w:rFonts w:hint="eastAsia" w:ascii="宋体" w:hAnsi="宋体" w:cs="宋体"/>
          <w:color w:val="auto"/>
          <w:sz w:val="22"/>
          <w:szCs w:val="22"/>
          <w:highlight w:val="none"/>
          <w:u w:val="single"/>
        </w:rPr>
        <w:t xml:space="preserve">                   </w:t>
      </w:r>
    </w:p>
    <w:p>
      <w:pPr>
        <w:spacing w:line="460" w:lineRule="exact"/>
        <w:ind w:firstLine="435"/>
        <w:rPr>
          <w:rFonts w:ascii="宋体" w:hAnsi="宋体" w:cs="宋体"/>
          <w:b/>
          <w:bCs/>
          <w:color w:val="auto"/>
          <w:sz w:val="22"/>
          <w:szCs w:val="22"/>
          <w:highlight w:val="none"/>
        </w:rPr>
      </w:pPr>
      <w:r>
        <w:rPr>
          <w:rFonts w:hint="eastAsia" w:ascii="宋体" w:hAnsi="宋体" w:cs="宋体"/>
          <w:color w:val="auto"/>
          <w:sz w:val="22"/>
          <w:szCs w:val="22"/>
          <w:highlight w:val="none"/>
        </w:rPr>
        <w:t xml:space="preserve">                                   日期：    年    月   日</w:t>
      </w:r>
      <w:r>
        <w:rPr>
          <w:rFonts w:hint="eastAsia" w:ascii="宋体" w:hAnsi="宋体" w:cs="宋体"/>
          <w:b/>
          <w:bCs/>
          <w:color w:val="auto"/>
          <w:sz w:val="22"/>
          <w:szCs w:val="22"/>
          <w:highlight w:val="none"/>
        </w:rPr>
        <w:br w:type="page"/>
      </w:r>
      <w:r>
        <w:rPr>
          <w:rFonts w:hint="eastAsia" w:ascii="宋体" w:hAnsi="宋体" w:cs="宋体"/>
          <w:b/>
          <w:bCs/>
          <w:color w:val="auto"/>
          <w:sz w:val="22"/>
          <w:szCs w:val="22"/>
          <w:highlight w:val="none"/>
        </w:rPr>
        <w:t>附件四</w:t>
      </w:r>
    </w:p>
    <w:p>
      <w:pPr>
        <w:spacing w:line="460" w:lineRule="exact"/>
        <w:ind w:firstLine="437"/>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技术规格、商务条款偏离表</w:t>
      </w:r>
    </w:p>
    <w:p>
      <w:pPr>
        <w:spacing w:line="460" w:lineRule="exact"/>
        <w:rPr>
          <w:rFonts w:ascii="宋体" w:hAnsi="宋体" w:cs="宋体"/>
          <w:b/>
          <w:bCs/>
          <w:color w:val="auto"/>
          <w:sz w:val="22"/>
          <w:szCs w:val="22"/>
          <w:highlight w:val="none"/>
        </w:rPr>
      </w:pPr>
      <w:r>
        <w:rPr>
          <w:rFonts w:hint="eastAsia" w:ascii="宋体" w:hAnsi="宋体" w:cs="宋体"/>
          <w:b/>
          <w:color w:val="auto"/>
          <w:sz w:val="22"/>
          <w:szCs w:val="22"/>
          <w:highlight w:val="none"/>
        </w:rPr>
        <w:t>采购项目：                                          采购编号：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3"/>
        <w:gridCol w:w="1364"/>
        <w:gridCol w:w="2097"/>
        <w:gridCol w:w="1992"/>
        <w:gridCol w:w="1866"/>
        <w:gridCol w:w="15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40" w:hRule="atLeast"/>
          <w:jc w:val="center"/>
        </w:trPr>
        <w:tc>
          <w:tcPr>
            <w:tcW w:w="943" w:type="dxa"/>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序号</w:t>
            </w:r>
          </w:p>
        </w:tc>
        <w:tc>
          <w:tcPr>
            <w:tcW w:w="2097" w:type="dxa"/>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采购文件</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条目号</w:t>
            </w:r>
          </w:p>
        </w:tc>
        <w:tc>
          <w:tcPr>
            <w:tcW w:w="1992" w:type="dxa"/>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采购文件</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规范要求</w:t>
            </w:r>
          </w:p>
        </w:tc>
        <w:tc>
          <w:tcPr>
            <w:tcW w:w="1866" w:type="dxa"/>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投标文件</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对应规范</w:t>
            </w:r>
          </w:p>
        </w:tc>
        <w:tc>
          <w:tcPr>
            <w:tcW w:w="1592" w:type="dxa"/>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40" w:hRule="atLeast"/>
          <w:jc w:val="center"/>
        </w:trPr>
        <w:tc>
          <w:tcPr>
            <w:tcW w:w="943" w:type="dxa"/>
            <w:vMerge w:val="restart"/>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技</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术</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规</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格</w:t>
            </w: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ind w:firstLine="220" w:firstLineChars="100"/>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atLeast"/>
          <w:jc w:val="center"/>
        </w:trPr>
        <w:tc>
          <w:tcPr>
            <w:tcW w:w="943" w:type="dxa"/>
            <w:vMerge w:val="restart"/>
            <w:vAlign w:val="center"/>
          </w:tcPr>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商</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务</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条</w:t>
            </w:r>
          </w:p>
          <w:p>
            <w:pPr>
              <w:spacing w:line="380" w:lineRule="exact"/>
              <w:jc w:val="center"/>
              <w:rPr>
                <w:rFonts w:ascii="宋体" w:hAnsi="宋体" w:cs="宋体"/>
                <w:color w:val="auto"/>
                <w:sz w:val="22"/>
                <w:szCs w:val="22"/>
                <w:highlight w:val="none"/>
              </w:rPr>
            </w:pPr>
            <w:r>
              <w:rPr>
                <w:rFonts w:hint="eastAsia" w:ascii="宋体" w:hAnsi="宋体" w:cs="宋体"/>
                <w:color w:val="auto"/>
                <w:sz w:val="22"/>
                <w:szCs w:val="22"/>
                <w:highlight w:val="none"/>
              </w:rPr>
              <w:t>款</w:t>
            </w: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71" w:hRule="atLeast"/>
          <w:jc w:val="center"/>
        </w:trPr>
        <w:tc>
          <w:tcPr>
            <w:tcW w:w="943" w:type="dxa"/>
            <w:vMerge w:val="continue"/>
          </w:tcPr>
          <w:p>
            <w:pPr>
              <w:spacing w:line="380" w:lineRule="exact"/>
              <w:jc w:val="center"/>
              <w:rPr>
                <w:rFonts w:ascii="宋体" w:hAnsi="宋体" w:cs="宋体"/>
                <w:color w:val="auto"/>
                <w:sz w:val="22"/>
                <w:szCs w:val="22"/>
                <w:highlight w:val="none"/>
              </w:rPr>
            </w:pPr>
          </w:p>
        </w:tc>
        <w:tc>
          <w:tcPr>
            <w:tcW w:w="1364" w:type="dxa"/>
            <w:vAlign w:val="center"/>
          </w:tcPr>
          <w:p>
            <w:pPr>
              <w:spacing w:line="380" w:lineRule="exact"/>
              <w:jc w:val="center"/>
              <w:rPr>
                <w:rFonts w:ascii="宋体" w:hAnsi="宋体" w:cs="宋体"/>
                <w:color w:val="auto"/>
                <w:sz w:val="22"/>
                <w:szCs w:val="22"/>
                <w:highlight w:val="none"/>
              </w:rPr>
            </w:pPr>
          </w:p>
        </w:tc>
        <w:tc>
          <w:tcPr>
            <w:tcW w:w="2097" w:type="dxa"/>
            <w:vAlign w:val="center"/>
          </w:tcPr>
          <w:p>
            <w:pPr>
              <w:spacing w:line="380" w:lineRule="exact"/>
              <w:jc w:val="center"/>
              <w:rPr>
                <w:rFonts w:ascii="宋体" w:hAnsi="宋体" w:cs="宋体"/>
                <w:color w:val="auto"/>
                <w:sz w:val="22"/>
                <w:szCs w:val="22"/>
                <w:highlight w:val="none"/>
              </w:rPr>
            </w:pPr>
          </w:p>
        </w:tc>
        <w:tc>
          <w:tcPr>
            <w:tcW w:w="1992" w:type="dxa"/>
            <w:vAlign w:val="center"/>
          </w:tcPr>
          <w:p>
            <w:pPr>
              <w:spacing w:line="380" w:lineRule="exact"/>
              <w:jc w:val="center"/>
              <w:rPr>
                <w:rFonts w:ascii="宋体" w:hAnsi="宋体" w:cs="宋体"/>
                <w:color w:val="auto"/>
                <w:sz w:val="22"/>
                <w:szCs w:val="22"/>
                <w:highlight w:val="none"/>
              </w:rPr>
            </w:pPr>
          </w:p>
        </w:tc>
        <w:tc>
          <w:tcPr>
            <w:tcW w:w="1866" w:type="dxa"/>
            <w:vAlign w:val="center"/>
          </w:tcPr>
          <w:p>
            <w:pPr>
              <w:spacing w:line="380" w:lineRule="exact"/>
              <w:jc w:val="center"/>
              <w:rPr>
                <w:rFonts w:ascii="宋体" w:hAnsi="宋体" w:cs="宋体"/>
                <w:color w:val="auto"/>
                <w:sz w:val="22"/>
                <w:szCs w:val="22"/>
                <w:highlight w:val="none"/>
              </w:rPr>
            </w:pPr>
          </w:p>
        </w:tc>
        <w:tc>
          <w:tcPr>
            <w:tcW w:w="1592" w:type="dxa"/>
            <w:vAlign w:val="center"/>
          </w:tcPr>
          <w:p>
            <w:pPr>
              <w:spacing w:line="380" w:lineRule="exact"/>
              <w:jc w:val="center"/>
              <w:rPr>
                <w:rFonts w:ascii="宋体" w:hAnsi="宋体" w:cs="宋体"/>
                <w:color w:val="auto"/>
                <w:sz w:val="22"/>
                <w:szCs w:val="22"/>
                <w:highlight w:val="none"/>
              </w:rPr>
            </w:pPr>
          </w:p>
        </w:tc>
      </w:tr>
    </w:tbl>
    <w:p>
      <w:pPr>
        <w:spacing w:line="380" w:lineRule="exact"/>
        <w:rPr>
          <w:rFonts w:ascii="宋体" w:hAnsi="宋体" w:cs="宋体"/>
          <w:b/>
          <w:color w:val="auto"/>
          <w:sz w:val="22"/>
          <w:szCs w:val="22"/>
          <w:highlight w:val="none"/>
        </w:rPr>
      </w:pPr>
      <w:r>
        <w:rPr>
          <w:rFonts w:hint="eastAsia" w:ascii="宋体" w:hAnsi="宋体" w:cs="宋体"/>
          <w:b/>
          <w:color w:val="auto"/>
          <w:sz w:val="22"/>
          <w:szCs w:val="22"/>
          <w:highlight w:val="none"/>
        </w:rPr>
        <w:t>注：</w:t>
      </w:r>
      <w:r>
        <w:rPr>
          <w:rFonts w:hint="eastAsia" w:ascii="宋体" w:hAnsi="宋体" w:cs="宋体"/>
          <w:b/>
          <w:color w:val="auto"/>
          <w:highlight w:val="none"/>
        </w:rPr>
        <w:t>不填写此表视为完全响应采购文件内容。</w:t>
      </w:r>
    </w:p>
    <w:p>
      <w:pPr>
        <w:spacing w:line="380" w:lineRule="exact"/>
        <w:ind w:firstLine="4417" w:firstLineChars="2000"/>
        <w:rPr>
          <w:rFonts w:ascii="宋体" w:hAnsi="宋体" w:cs="宋体"/>
          <w:b/>
          <w:color w:val="auto"/>
          <w:sz w:val="22"/>
          <w:szCs w:val="22"/>
          <w:highlight w:val="none"/>
        </w:rPr>
      </w:pP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400" w:firstLineChars="2000"/>
        <w:rPr>
          <w:rFonts w:ascii="宋体" w:hAnsi="宋体" w:cs="宋体"/>
          <w:color w:val="auto"/>
          <w:sz w:val="22"/>
          <w:szCs w:val="22"/>
          <w:highlight w:val="none"/>
        </w:rPr>
      </w:pPr>
      <w:r>
        <w:rPr>
          <w:rFonts w:hint="eastAsia" w:ascii="宋体" w:hAnsi="宋体" w:cs="宋体"/>
          <w:color w:val="auto"/>
          <w:sz w:val="22"/>
          <w:szCs w:val="22"/>
          <w:highlight w:val="none"/>
        </w:rPr>
        <w:t>日期：  年   月  日</w:t>
      </w:r>
    </w:p>
    <w:p>
      <w:pPr>
        <w:spacing w:line="380" w:lineRule="exact"/>
        <w:rPr>
          <w:rFonts w:ascii="宋体" w:hAnsi="宋体" w:cs="宋体"/>
          <w:b/>
          <w:bCs/>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b/>
          <w:bCs/>
          <w:color w:val="auto"/>
          <w:sz w:val="22"/>
          <w:szCs w:val="22"/>
          <w:highlight w:val="none"/>
        </w:rPr>
        <w:t>附件五</w:t>
      </w:r>
    </w:p>
    <w:p>
      <w:pPr>
        <w:spacing w:line="460" w:lineRule="exact"/>
        <w:ind w:firstLine="437"/>
        <w:jc w:val="center"/>
        <w:rPr>
          <w:rFonts w:ascii="宋体" w:hAnsi="宋体" w:cs="宋体"/>
          <w:b/>
          <w:bCs/>
          <w:color w:val="auto"/>
          <w:sz w:val="28"/>
          <w:szCs w:val="28"/>
          <w:highlight w:val="none"/>
        </w:rPr>
      </w:pPr>
      <w:r>
        <w:rPr>
          <w:rFonts w:hint="eastAsia" w:ascii="宋体" w:hAnsi="宋体" w:cs="宋体"/>
          <w:b/>
          <w:bCs/>
          <w:color w:val="auto"/>
          <w:sz w:val="28"/>
          <w:szCs w:val="28"/>
          <w:highlight w:val="none"/>
        </w:rPr>
        <w:t>同类项目业绩表</w:t>
      </w:r>
    </w:p>
    <w:p>
      <w:pPr>
        <w:pStyle w:val="17"/>
        <w:ind w:firstLine="221"/>
        <w:rPr>
          <w:rFonts w:ascii="宋体" w:hAnsi="宋体" w:cs="宋体"/>
          <w:color w:val="auto"/>
          <w:highlight w:val="none"/>
        </w:rPr>
      </w:pPr>
      <w:r>
        <w:rPr>
          <w:rFonts w:hint="eastAsia" w:ascii="宋体" w:hAnsi="宋体" w:cs="宋体"/>
          <w:b/>
          <w:color w:val="auto"/>
          <w:sz w:val="22"/>
          <w:szCs w:val="22"/>
          <w:highlight w:val="none"/>
        </w:rPr>
        <w:t>采购项目：                                          采购编号：</w:t>
      </w:r>
    </w:p>
    <w:tbl>
      <w:tblPr>
        <w:tblStyle w:val="35"/>
        <w:tblpPr w:leftFromText="180" w:rightFromText="180" w:vertAnchor="text" w:tblpY="1"/>
        <w:tblOverlap w:val="never"/>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2955"/>
        <w:gridCol w:w="1617"/>
        <w:gridCol w:w="1617"/>
        <w:gridCol w:w="1602"/>
        <w:gridCol w:w="1266"/>
        <w:gridCol w:w="79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60" w:hRule="atLeast"/>
        </w:trPr>
        <w:tc>
          <w:tcPr>
            <w:tcW w:w="1498" w:type="pct"/>
            <w:vAlign w:val="center"/>
          </w:tcPr>
          <w:p>
            <w:pPr>
              <w:spacing w:line="400" w:lineRule="atLeast"/>
              <w:jc w:val="center"/>
              <w:rPr>
                <w:rFonts w:ascii="宋体" w:hAnsi="宋体" w:cs="宋体"/>
                <w:color w:val="auto"/>
                <w:sz w:val="24"/>
                <w:highlight w:val="none"/>
              </w:rPr>
            </w:pPr>
            <w:r>
              <w:rPr>
                <w:rFonts w:hint="eastAsia" w:ascii="宋体" w:hAnsi="宋体" w:cs="宋体"/>
                <w:color w:val="auto"/>
                <w:sz w:val="24"/>
                <w:highlight w:val="none"/>
              </w:rPr>
              <w:t>采购项目</w:t>
            </w:r>
          </w:p>
        </w:tc>
        <w:tc>
          <w:tcPr>
            <w:tcW w:w="820" w:type="pct"/>
            <w:vAlign w:val="center"/>
          </w:tcPr>
          <w:p>
            <w:pPr>
              <w:spacing w:line="400" w:lineRule="atLeast"/>
              <w:jc w:val="center"/>
              <w:rPr>
                <w:rFonts w:ascii="宋体" w:hAnsi="宋体" w:cs="宋体"/>
                <w:color w:val="auto"/>
                <w:sz w:val="24"/>
                <w:highlight w:val="none"/>
              </w:rPr>
            </w:pPr>
            <w:r>
              <w:rPr>
                <w:rFonts w:hint="eastAsia" w:ascii="宋体" w:hAnsi="宋体" w:cs="宋体"/>
                <w:bCs/>
                <w:color w:val="auto"/>
                <w:sz w:val="24"/>
                <w:highlight w:val="none"/>
              </w:rPr>
              <w:t>用户名称</w:t>
            </w:r>
          </w:p>
        </w:tc>
        <w:tc>
          <w:tcPr>
            <w:tcW w:w="820" w:type="pct"/>
            <w:vAlign w:val="center"/>
          </w:tcPr>
          <w:p>
            <w:pPr>
              <w:spacing w:line="400" w:lineRule="atLeast"/>
              <w:jc w:val="center"/>
              <w:rPr>
                <w:rFonts w:ascii="宋体" w:hAnsi="宋体" w:cs="宋体"/>
                <w:color w:val="auto"/>
                <w:sz w:val="24"/>
                <w:highlight w:val="none"/>
              </w:rPr>
            </w:pPr>
            <w:r>
              <w:rPr>
                <w:rFonts w:hint="eastAsia" w:ascii="宋体" w:hAnsi="宋体" w:cs="宋体"/>
                <w:color w:val="auto"/>
                <w:sz w:val="24"/>
                <w:highlight w:val="none"/>
              </w:rPr>
              <w:t>合同起止时间</w:t>
            </w:r>
          </w:p>
        </w:tc>
        <w:tc>
          <w:tcPr>
            <w:tcW w:w="812" w:type="pct"/>
            <w:vAlign w:val="center"/>
          </w:tcPr>
          <w:p>
            <w:pPr>
              <w:spacing w:line="400" w:lineRule="atLeast"/>
              <w:jc w:val="center"/>
              <w:rPr>
                <w:rFonts w:ascii="宋体" w:hAnsi="宋体" w:cs="宋体"/>
                <w:color w:val="auto"/>
                <w:sz w:val="24"/>
                <w:highlight w:val="none"/>
              </w:rPr>
            </w:pPr>
            <w:r>
              <w:rPr>
                <w:rFonts w:hint="eastAsia" w:ascii="宋体" w:hAnsi="宋体" w:cs="宋体"/>
                <w:color w:val="auto"/>
                <w:sz w:val="24"/>
                <w:highlight w:val="none"/>
              </w:rPr>
              <w:t>合同金额</w:t>
            </w:r>
          </w:p>
          <w:p>
            <w:pPr>
              <w:spacing w:line="400" w:lineRule="atLeast"/>
              <w:jc w:val="center"/>
              <w:rPr>
                <w:rFonts w:ascii="宋体" w:hAnsi="宋体" w:cs="宋体"/>
                <w:color w:val="auto"/>
                <w:sz w:val="24"/>
                <w:highlight w:val="none"/>
              </w:rPr>
            </w:pPr>
            <w:r>
              <w:rPr>
                <w:rFonts w:hint="eastAsia" w:ascii="宋体" w:hAnsi="宋体" w:cs="宋体"/>
                <w:color w:val="auto"/>
                <w:sz w:val="24"/>
                <w:highlight w:val="none"/>
              </w:rPr>
              <w:t>（万元）</w:t>
            </w:r>
          </w:p>
        </w:tc>
        <w:tc>
          <w:tcPr>
            <w:tcW w:w="642" w:type="pct"/>
            <w:tcBorders>
              <w:bottom w:val="single" w:color="auto" w:sz="4" w:space="0"/>
            </w:tcBorders>
            <w:vAlign w:val="center"/>
          </w:tcPr>
          <w:p>
            <w:pPr>
              <w:spacing w:line="400" w:lineRule="atLeast"/>
              <w:jc w:val="center"/>
              <w:rPr>
                <w:rFonts w:ascii="宋体" w:hAnsi="宋体" w:cs="宋体"/>
                <w:color w:val="auto"/>
                <w:sz w:val="24"/>
                <w:highlight w:val="none"/>
              </w:rPr>
            </w:pPr>
            <w:r>
              <w:rPr>
                <w:rFonts w:hint="eastAsia" w:ascii="宋体" w:hAnsi="宋体" w:cs="宋体"/>
                <w:color w:val="auto"/>
                <w:sz w:val="24"/>
                <w:highlight w:val="none"/>
              </w:rPr>
              <w:t>联系人/联系电话</w:t>
            </w:r>
          </w:p>
        </w:tc>
        <w:tc>
          <w:tcPr>
            <w:tcW w:w="404" w:type="pct"/>
            <w:tcBorders>
              <w:bottom w:val="single" w:color="auto" w:sz="4" w:space="0"/>
            </w:tcBorders>
            <w:vAlign w:val="center"/>
          </w:tcPr>
          <w:p>
            <w:pPr>
              <w:tabs>
                <w:tab w:val="left" w:pos="692"/>
              </w:tabs>
              <w:spacing w:line="400" w:lineRule="atLeast"/>
              <w:ind w:left="240" w:hanging="240" w:hangingChars="100"/>
              <w:jc w:val="center"/>
              <w:rPr>
                <w:rFonts w:ascii="宋体" w:hAnsi="宋体" w:cs="宋体"/>
                <w:color w:val="auto"/>
                <w:sz w:val="24"/>
                <w:highlight w:val="none"/>
                <w:u w:val="single"/>
              </w:rPr>
            </w:pPr>
            <w:r>
              <w:rPr>
                <w:rFonts w:hint="eastAsia" w:ascii="宋体" w:hAnsi="宋体" w:cs="宋体"/>
                <w:color w:val="auto"/>
                <w:sz w:val="24"/>
                <w:highlight w:val="none"/>
                <w:u w:val="singl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autoSpaceDE w:val="0"/>
              <w:autoSpaceDN w:val="0"/>
              <w:adjustRightInd w:val="0"/>
              <w:jc w:val="center"/>
              <w:rPr>
                <w:rFonts w:ascii="宋体" w:hAnsi="宋体" w:cs="宋体"/>
                <w:bCs/>
                <w:color w:val="auto"/>
                <w:highlight w:val="none"/>
                <w:lang w:val="zh-CN"/>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19" w:hRule="atLeast"/>
        </w:trPr>
        <w:tc>
          <w:tcPr>
            <w:tcW w:w="1498"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20" w:type="pct"/>
            <w:vAlign w:val="center"/>
          </w:tcPr>
          <w:p>
            <w:pPr>
              <w:spacing w:line="400" w:lineRule="atLeast"/>
              <w:jc w:val="center"/>
              <w:rPr>
                <w:rFonts w:ascii="宋体" w:hAnsi="宋体" w:cs="宋体"/>
                <w:color w:val="auto"/>
                <w:sz w:val="24"/>
                <w:highlight w:val="none"/>
              </w:rPr>
            </w:pPr>
          </w:p>
        </w:tc>
        <w:tc>
          <w:tcPr>
            <w:tcW w:w="812" w:type="pct"/>
            <w:vAlign w:val="center"/>
          </w:tcPr>
          <w:p>
            <w:pPr>
              <w:spacing w:line="400" w:lineRule="atLeast"/>
              <w:jc w:val="center"/>
              <w:rPr>
                <w:rFonts w:ascii="宋体" w:hAnsi="宋体" w:cs="宋体"/>
                <w:color w:val="auto"/>
                <w:sz w:val="24"/>
                <w:highlight w:val="none"/>
              </w:rPr>
            </w:pPr>
          </w:p>
        </w:tc>
        <w:tc>
          <w:tcPr>
            <w:tcW w:w="642" w:type="pct"/>
            <w:vAlign w:val="center"/>
          </w:tcPr>
          <w:p>
            <w:pPr>
              <w:spacing w:line="400" w:lineRule="atLeast"/>
              <w:jc w:val="center"/>
              <w:rPr>
                <w:rFonts w:ascii="宋体" w:hAnsi="宋体" w:cs="宋体"/>
                <w:color w:val="auto"/>
                <w:sz w:val="24"/>
                <w:highlight w:val="none"/>
              </w:rPr>
            </w:pPr>
          </w:p>
        </w:tc>
        <w:tc>
          <w:tcPr>
            <w:tcW w:w="404" w:type="pct"/>
            <w:vAlign w:val="center"/>
          </w:tcPr>
          <w:p>
            <w:pPr>
              <w:spacing w:line="400" w:lineRule="atLeast"/>
              <w:jc w:val="center"/>
              <w:rPr>
                <w:rFonts w:ascii="宋体" w:hAnsi="宋体" w:cs="宋体"/>
                <w:color w:val="auto"/>
                <w:sz w:val="24"/>
                <w:highlight w:val="none"/>
              </w:rPr>
            </w:pPr>
          </w:p>
        </w:tc>
      </w:tr>
    </w:tbl>
    <w:p>
      <w:pPr>
        <w:rPr>
          <w:rFonts w:ascii="宋体" w:hAnsi="宋体" w:cs="宋体"/>
          <w:color w:val="auto"/>
          <w:sz w:val="24"/>
          <w:highlight w:val="none"/>
        </w:rPr>
      </w:pPr>
    </w:p>
    <w:p>
      <w:pPr>
        <w:rPr>
          <w:rFonts w:ascii="宋体" w:hAnsi="宋体" w:cs="宋体"/>
          <w:b/>
          <w:bCs/>
          <w:color w:val="auto"/>
          <w:sz w:val="24"/>
          <w:highlight w:val="none"/>
          <w:u w:val="single"/>
        </w:rPr>
      </w:pPr>
      <w:r>
        <w:rPr>
          <w:rFonts w:hint="eastAsia" w:ascii="宋体" w:hAnsi="宋体" w:cs="宋体"/>
          <w:color w:val="auto"/>
          <w:sz w:val="24"/>
          <w:highlight w:val="none"/>
        </w:rPr>
        <w:t>注：</w:t>
      </w:r>
    </w:p>
    <w:p>
      <w:pPr>
        <w:spacing w:line="500" w:lineRule="exact"/>
        <w:rPr>
          <w:rFonts w:ascii="宋体" w:hAnsi="宋体" w:cs="宋体"/>
          <w:color w:val="auto"/>
          <w:sz w:val="22"/>
          <w:szCs w:val="22"/>
          <w:highlight w:val="none"/>
        </w:rPr>
      </w:pPr>
      <w:r>
        <w:rPr>
          <w:rFonts w:hint="eastAsia" w:ascii="宋体" w:hAnsi="宋体" w:cs="宋体"/>
          <w:bCs/>
          <w:color w:val="auto"/>
          <w:sz w:val="22"/>
          <w:szCs w:val="22"/>
          <w:highlight w:val="none"/>
        </w:rPr>
        <w:t>1．</w:t>
      </w:r>
      <w:r>
        <w:rPr>
          <w:rFonts w:hint="eastAsia" w:ascii="宋体" w:hAnsi="宋体" w:cs="宋体"/>
          <w:color w:val="auto"/>
          <w:sz w:val="22"/>
          <w:szCs w:val="22"/>
          <w:highlight w:val="none"/>
        </w:rPr>
        <w:t>此表仅提供了表格形式，投标人应根据需要准备足够数量的表格来填写。</w:t>
      </w:r>
    </w:p>
    <w:p>
      <w:pPr>
        <w:spacing w:line="500" w:lineRule="exact"/>
        <w:rPr>
          <w:rFonts w:ascii="宋体" w:hAnsi="宋体" w:cs="宋体"/>
          <w:color w:val="auto"/>
          <w:sz w:val="22"/>
          <w:szCs w:val="22"/>
          <w:highlight w:val="none"/>
        </w:rPr>
      </w:pPr>
      <w:r>
        <w:rPr>
          <w:rFonts w:hint="eastAsia" w:ascii="宋体" w:hAnsi="宋体" w:cs="宋体"/>
          <w:color w:val="auto"/>
          <w:sz w:val="22"/>
          <w:szCs w:val="22"/>
          <w:highlight w:val="none"/>
        </w:rPr>
        <w:t xml:space="preserve">2. 此表所填业绩满足以下条件，否则评审时不予认可： </w:t>
      </w:r>
    </w:p>
    <w:p>
      <w:pPr>
        <w:widowControl/>
        <w:numPr>
          <w:ilvl w:val="0"/>
          <w:numId w:val="37"/>
        </w:numPr>
        <w:spacing w:line="5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每项业绩均需另提供证明材料，证明材料以中标通知书或合同为准；</w:t>
      </w:r>
    </w:p>
    <w:p>
      <w:pPr>
        <w:widowControl/>
        <w:numPr>
          <w:ilvl w:val="0"/>
          <w:numId w:val="37"/>
        </w:numPr>
        <w:spacing w:line="5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同类业绩指数据对接服务的类似业绩；</w:t>
      </w:r>
    </w:p>
    <w:p>
      <w:pPr>
        <w:widowControl/>
        <w:numPr>
          <w:ilvl w:val="0"/>
          <w:numId w:val="37"/>
        </w:numPr>
        <w:spacing w:line="500" w:lineRule="exact"/>
        <w:jc w:val="left"/>
        <w:rPr>
          <w:rFonts w:ascii="宋体" w:hAnsi="宋体" w:cs="宋体"/>
          <w:color w:val="auto"/>
          <w:sz w:val="22"/>
          <w:szCs w:val="22"/>
          <w:highlight w:val="none"/>
        </w:rPr>
      </w:pPr>
      <w:r>
        <w:rPr>
          <w:rFonts w:hint="eastAsia" w:ascii="宋体" w:hAnsi="宋体" w:cs="宋体"/>
          <w:color w:val="auto"/>
          <w:sz w:val="22"/>
          <w:szCs w:val="22"/>
          <w:highlight w:val="none"/>
        </w:rPr>
        <w:t>有效业绩的合同起始时间为2020年1月1日起。</w:t>
      </w:r>
    </w:p>
    <w:p>
      <w:pPr>
        <w:spacing w:line="500" w:lineRule="exact"/>
        <w:rPr>
          <w:rFonts w:ascii="宋体" w:hAnsi="宋体" w:cs="宋体"/>
          <w:b/>
          <w:color w:val="auto"/>
          <w:sz w:val="22"/>
          <w:szCs w:val="22"/>
          <w:highlight w:val="none"/>
          <w:u w:val="single"/>
        </w:rPr>
      </w:pPr>
      <w:r>
        <w:rPr>
          <w:rFonts w:hint="eastAsia" w:ascii="宋体" w:hAnsi="宋体" w:cs="宋体"/>
          <w:b/>
          <w:color w:val="auto"/>
          <w:sz w:val="22"/>
          <w:szCs w:val="22"/>
          <w:highlight w:val="none"/>
          <w:u w:val="single"/>
        </w:rPr>
        <w:t>3. 投标人不按此要求填写此项内容或未提供业绩证明材料将视为无业绩。</w:t>
      </w:r>
    </w:p>
    <w:p>
      <w:pPr>
        <w:spacing w:line="500" w:lineRule="exact"/>
        <w:rPr>
          <w:rFonts w:ascii="宋体" w:hAnsi="宋体" w:cs="宋体"/>
          <w:b/>
          <w:color w:val="auto"/>
          <w:sz w:val="22"/>
          <w:szCs w:val="22"/>
          <w:highlight w:val="none"/>
          <w:u w:val="single"/>
        </w:rPr>
      </w:pPr>
    </w:p>
    <w:p>
      <w:pPr>
        <w:spacing w:line="380" w:lineRule="exact"/>
        <w:ind w:left="663" w:hanging="663" w:hangingChars="300"/>
        <w:rPr>
          <w:rFonts w:ascii="宋体" w:hAnsi="宋体" w:cs="宋体"/>
          <w:b/>
          <w:color w:val="auto"/>
          <w:sz w:val="22"/>
          <w:szCs w:val="22"/>
          <w:highlight w:val="none"/>
        </w:rPr>
      </w:pP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日 期：  年  月  日</w:t>
      </w:r>
    </w:p>
    <w:p>
      <w:pPr>
        <w:spacing w:line="380" w:lineRule="exact"/>
        <w:rPr>
          <w:rFonts w:ascii="宋体" w:hAnsi="宋体" w:cs="宋体"/>
          <w:b/>
          <w:bCs/>
          <w:color w:val="auto"/>
          <w:sz w:val="22"/>
          <w:szCs w:val="22"/>
          <w:highlight w:val="none"/>
        </w:rPr>
      </w:pPr>
    </w:p>
    <w:p>
      <w:pPr>
        <w:spacing w:line="380" w:lineRule="exact"/>
        <w:rPr>
          <w:rFonts w:ascii="宋体" w:hAnsi="宋体" w:cs="宋体"/>
          <w:color w:val="auto"/>
          <w:sz w:val="22"/>
          <w:szCs w:val="22"/>
          <w:highlight w:val="none"/>
        </w:rPr>
      </w:pPr>
      <w:r>
        <w:rPr>
          <w:rFonts w:hint="eastAsia" w:ascii="宋体" w:hAnsi="宋体" w:cs="宋体"/>
          <w:b/>
          <w:bCs/>
          <w:color w:val="auto"/>
          <w:sz w:val="22"/>
          <w:szCs w:val="22"/>
          <w:highlight w:val="none"/>
        </w:rPr>
        <w:br w:type="page"/>
      </w:r>
      <w:r>
        <w:rPr>
          <w:rFonts w:hint="eastAsia" w:ascii="宋体" w:hAnsi="宋体" w:cs="宋体"/>
          <w:b/>
          <w:bCs/>
          <w:color w:val="auto"/>
          <w:sz w:val="22"/>
          <w:szCs w:val="22"/>
          <w:highlight w:val="none"/>
        </w:rPr>
        <w:t>附件六</w:t>
      </w:r>
    </w:p>
    <w:p>
      <w:pPr>
        <w:spacing w:after="240"/>
        <w:jc w:val="center"/>
        <w:rPr>
          <w:rFonts w:ascii="宋体" w:hAnsi="宋体"/>
          <w:b/>
          <w:color w:val="auto"/>
          <w:highlight w:val="none"/>
        </w:rPr>
      </w:pPr>
      <w:r>
        <w:rPr>
          <w:rFonts w:hint="eastAsia" w:ascii="宋体" w:hAnsi="宋体"/>
          <w:b/>
          <w:color w:val="auto"/>
          <w:highlight w:val="none"/>
        </w:rPr>
        <w:t>（1）项目负责人情况表</w:t>
      </w:r>
    </w:p>
    <w:p>
      <w:pPr>
        <w:rPr>
          <w:rFonts w:ascii="宋体" w:hAnsi="宋体"/>
          <w:color w:val="auto"/>
          <w:sz w:val="22"/>
          <w:highlight w:val="none"/>
        </w:rPr>
      </w:pPr>
      <w:r>
        <w:rPr>
          <w:rFonts w:hint="eastAsia" w:ascii="宋体" w:hAnsi="宋体"/>
          <w:color w:val="auto"/>
          <w:sz w:val="22"/>
          <w:highlight w:val="none"/>
        </w:rPr>
        <w:t>项目名称：                                         项目编号：</w:t>
      </w:r>
    </w:p>
    <w:tbl>
      <w:tblPr>
        <w:tblStyle w:val="35"/>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30"/>
        <w:gridCol w:w="444"/>
        <w:gridCol w:w="1820"/>
        <w:gridCol w:w="1585"/>
        <w:gridCol w:w="1724"/>
        <w:gridCol w:w="1447"/>
        <w:gridCol w:w="15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723" w:hRule="atLeast"/>
          <w:jc w:val="center"/>
        </w:trPr>
        <w:tc>
          <w:tcPr>
            <w:tcW w:w="9640" w:type="dxa"/>
            <w:gridSpan w:val="7"/>
            <w:tcBorders>
              <w:top w:val="single" w:color="auto" w:sz="12" w:space="0"/>
              <w:left w:val="single" w:color="auto" w:sz="12" w:space="0"/>
              <w:bottom w:val="single" w:color="auto" w:sz="4" w:space="0"/>
              <w:right w:val="single" w:color="auto" w:sz="12"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1、一般情况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姓   名</w:t>
            </w:r>
          </w:p>
        </w:tc>
        <w:tc>
          <w:tcPr>
            <w:tcW w:w="1820"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年  龄</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学历/学位</w:t>
            </w:r>
          </w:p>
        </w:tc>
        <w:tc>
          <w:tcPr>
            <w:tcW w:w="159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毕业学校</w:t>
            </w: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专  业</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职  务</w:t>
            </w:r>
          </w:p>
        </w:tc>
        <w:tc>
          <w:tcPr>
            <w:tcW w:w="159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职  称</w:t>
            </w:r>
          </w:p>
        </w:tc>
        <w:tc>
          <w:tcPr>
            <w:tcW w:w="1820" w:type="dxa"/>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1585"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拟任何职</w:t>
            </w:r>
          </w:p>
        </w:tc>
        <w:tc>
          <w:tcPr>
            <w:tcW w:w="1724"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p>
        </w:tc>
        <w:tc>
          <w:tcPr>
            <w:tcW w:w="1447"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参加工作</w:t>
            </w:r>
          </w:p>
          <w:p>
            <w:pPr>
              <w:jc w:val="center"/>
              <w:rPr>
                <w:rFonts w:ascii="宋体" w:hAnsi="宋体"/>
                <w:color w:val="auto"/>
                <w:sz w:val="22"/>
                <w:szCs w:val="22"/>
                <w:highlight w:val="none"/>
              </w:rPr>
            </w:pPr>
            <w:r>
              <w:rPr>
                <w:rFonts w:hint="eastAsia" w:ascii="宋体" w:hAnsi="宋体"/>
                <w:color w:val="auto"/>
                <w:sz w:val="22"/>
                <w:szCs w:val="22"/>
                <w:highlight w:val="none"/>
              </w:rPr>
              <w:t>时间</w:t>
            </w:r>
          </w:p>
        </w:tc>
        <w:tc>
          <w:tcPr>
            <w:tcW w:w="1590" w:type="dxa"/>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9640" w:type="dxa"/>
            <w:gridSpan w:val="7"/>
            <w:tcBorders>
              <w:top w:val="single" w:color="auto" w:sz="4" w:space="0"/>
              <w:left w:val="single" w:color="auto" w:sz="12" w:space="0"/>
              <w:bottom w:val="single" w:color="auto" w:sz="4" w:space="0"/>
              <w:right w:val="single" w:color="auto" w:sz="12"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2、个人简历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时  间</w:t>
            </w:r>
          </w:p>
        </w:tc>
        <w:tc>
          <w:tcPr>
            <w:tcW w:w="8166" w:type="dxa"/>
            <w:gridSpan w:val="5"/>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专业工作经历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8166" w:type="dxa"/>
            <w:gridSpan w:val="5"/>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474" w:type="dxa"/>
            <w:gridSpan w:val="2"/>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8166" w:type="dxa"/>
            <w:gridSpan w:val="5"/>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atLeast"/>
          <w:jc w:val="center"/>
        </w:trPr>
        <w:tc>
          <w:tcPr>
            <w:tcW w:w="9640" w:type="dxa"/>
            <w:gridSpan w:val="7"/>
            <w:tcBorders>
              <w:top w:val="single" w:color="auto" w:sz="4" w:space="0"/>
              <w:left w:val="single" w:color="auto" w:sz="12" w:space="0"/>
              <w:bottom w:val="single" w:color="auto" w:sz="4" w:space="0"/>
              <w:right w:val="single" w:color="auto" w:sz="12"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3、近五年工作经验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030" w:type="dxa"/>
            <w:tcBorders>
              <w:top w:val="single" w:color="auto" w:sz="4" w:space="0"/>
              <w:left w:val="single" w:color="auto" w:sz="12"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序号</w:t>
            </w:r>
          </w:p>
        </w:tc>
        <w:tc>
          <w:tcPr>
            <w:tcW w:w="5573" w:type="dxa"/>
            <w:gridSpan w:val="4"/>
            <w:tcBorders>
              <w:top w:val="single" w:color="auto" w:sz="4" w:space="0"/>
              <w:left w:val="single" w:color="auto" w:sz="4" w:space="0"/>
              <w:bottom w:val="single" w:color="auto" w:sz="4" w:space="0"/>
              <w:right w:val="single" w:color="auto" w:sz="4"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项  目  名  称</w:t>
            </w:r>
          </w:p>
        </w:tc>
        <w:tc>
          <w:tcPr>
            <w:tcW w:w="3037" w:type="dxa"/>
            <w:gridSpan w:val="2"/>
            <w:tcBorders>
              <w:top w:val="single" w:color="auto" w:sz="4" w:space="0"/>
              <w:left w:val="single" w:color="auto" w:sz="4" w:space="0"/>
              <w:bottom w:val="single" w:color="auto" w:sz="4" w:space="0"/>
              <w:right w:val="single" w:color="auto" w:sz="12" w:space="0"/>
            </w:tcBorders>
            <w:vAlign w:val="center"/>
          </w:tcPr>
          <w:p>
            <w:pPr>
              <w:jc w:val="center"/>
              <w:rPr>
                <w:rFonts w:ascii="宋体" w:hAnsi="宋体"/>
                <w:color w:val="auto"/>
                <w:sz w:val="22"/>
                <w:szCs w:val="22"/>
                <w:highlight w:val="none"/>
              </w:rPr>
            </w:pPr>
            <w:r>
              <w:rPr>
                <w:rFonts w:hint="eastAsia" w:ascii="宋体" w:hAnsi="宋体"/>
                <w:color w:val="auto"/>
                <w:sz w:val="22"/>
                <w:szCs w:val="22"/>
                <w:highlight w:val="none"/>
              </w:rPr>
              <w:t>该项目中任何职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03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55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03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55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72" w:hRule="exact"/>
          <w:jc w:val="center"/>
        </w:trPr>
        <w:tc>
          <w:tcPr>
            <w:tcW w:w="103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55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684" w:hRule="exact"/>
          <w:jc w:val="center"/>
        </w:trPr>
        <w:tc>
          <w:tcPr>
            <w:tcW w:w="1030" w:type="dxa"/>
            <w:tcBorders>
              <w:top w:val="single" w:color="auto" w:sz="4" w:space="0"/>
              <w:left w:val="single" w:color="auto" w:sz="12" w:space="0"/>
              <w:bottom w:val="single" w:color="auto" w:sz="4" w:space="0"/>
              <w:right w:val="single" w:color="auto" w:sz="4" w:space="0"/>
            </w:tcBorders>
            <w:vAlign w:val="center"/>
          </w:tcPr>
          <w:p>
            <w:pPr>
              <w:rPr>
                <w:rFonts w:ascii="宋体" w:hAnsi="宋体"/>
                <w:color w:val="auto"/>
                <w:sz w:val="22"/>
                <w:szCs w:val="22"/>
                <w:highlight w:val="none"/>
              </w:rPr>
            </w:pPr>
          </w:p>
        </w:tc>
        <w:tc>
          <w:tcPr>
            <w:tcW w:w="5573" w:type="dxa"/>
            <w:gridSpan w:val="4"/>
            <w:tcBorders>
              <w:top w:val="single" w:color="auto" w:sz="4" w:space="0"/>
              <w:left w:val="single" w:color="auto" w:sz="4" w:space="0"/>
              <w:bottom w:val="single" w:color="auto" w:sz="4" w:space="0"/>
              <w:right w:val="single" w:color="auto" w:sz="4" w:space="0"/>
            </w:tcBorders>
            <w:vAlign w:val="center"/>
          </w:tcPr>
          <w:p>
            <w:pPr>
              <w:rPr>
                <w:rFonts w:ascii="宋体" w:hAnsi="宋体"/>
                <w:color w:val="auto"/>
                <w:sz w:val="22"/>
                <w:szCs w:val="22"/>
                <w:highlight w:val="none"/>
              </w:rPr>
            </w:pPr>
          </w:p>
        </w:tc>
        <w:tc>
          <w:tcPr>
            <w:tcW w:w="3037" w:type="dxa"/>
            <w:gridSpan w:val="2"/>
            <w:tcBorders>
              <w:top w:val="single" w:color="auto" w:sz="4" w:space="0"/>
              <w:left w:val="single" w:color="auto" w:sz="4" w:space="0"/>
              <w:bottom w:val="single" w:color="auto" w:sz="4" w:space="0"/>
              <w:right w:val="single" w:color="auto" w:sz="12" w:space="0"/>
            </w:tcBorders>
            <w:vAlign w:val="center"/>
          </w:tcPr>
          <w:p>
            <w:pPr>
              <w:rPr>
                <w:rFonts w:ascii="宋体" w:hAnsi="宋体"/>
                <w:color w:val="auto"/>
                <w:sz w:val="22"/>
                <w:szCs w:val="22"/>
                <w:highlight w:val="none"/>
              </w:rPr>
            </w:pPr>
          </w:p>
        </w:tc>
      </w:tr>
    </w:tbl>
    <w:p>
      <w:pPr>
        <w:ind w:left="770" w:hanging="770" w:hangingChars="350"/>
        <w:rPr>
          <w:rFonts w:ascii="宋体" w:hAnsi="宋体"/>
          <w:color w:val="auto"/>
          <w:sz w:val="22"/>
          <w:highlight w:val="none"/>
        </w:rPr>
      </w:pPr>
      <w:r>
        <w:rPr>
          <w:rFonts w:hint="eastAsia" w:ascii="宋体" w:hAnsi="宋体"/>
          <w:color w:val="auto"/>
          <w:sz w:val="22"/>
          <w:highlight w:val="none"/>
        </w:rPr>
        <w:t>注：1、本表后应附相关</w:t>
      </w:r>
      <w:r>
        <w:rPr>
          <w:rFonts w:hint="eastAsia" w:ascii="宋体" w:hAnsi="宋体"/>
          <w:color w:val="auto"/>
          <w:sz w:val="22"/>
          <w:szCs w:val="22"/>
          <w:highlight w:val="none"/>
        </w:rPr>
        <w:t>资质</w:t>
      </w:r>
      <w:r>
        <w:rPr>
          <w:rFonts w:hint="eastAsia" w:ascii="宋体" w:hAnsi="宋体"/>
          <w:color w:val="auto"/>
          <w:sz w:val="22"/>
          <w:highlight w:val="none"/>
        </w:rPr>
        <w:t>证书</w:t>
      </w:r>
      <w:r>
        <w:rPr>
          <w:rFonts w:hint="eastAsia" w:ascii="宋体" w:hAnsi="宋体"/>
          <w:color w:val="auto"/>
          <w:sz w:val="22"/>
          <w:szCs w:val="22"/>
          <w:highlight w:val="none"/>
        </w:rPr>
        <w:t>、</w:t>
      </w:r>
      <w:r>
        <w:rPr>
          <w:rFonts w:hint="eastAsia" w:ascii="宋体" w:hAnsi="宋体"/>
          <w:color w:val="auto"/>
          <w:sz w:val="22"/>
          <w:highlight w:val="none"/>
        </w:rPr>
        <w:t>学历证书、职称证书（或学位证书）、身份证、社保等复印件加盖单位公章；</w:t>
      </w:r>
    </w:p>
    <w:p>
      <w:pPr>
        <w:pStyle w:val="20"/>
        <w:numPr>
          <w:ilvl w:val="0"/>
          <w:numId w:val="38"/>
        </w:numPr>
        <w:ind w:firstLine="440" w:firstLineChars="200"/>
        <w:rPr>
          <w:rFonts w:hAnsi="宋体"/>
          <w:color w:val="auto"/>
          <w:sz w:val="22"/>
          <w:highlight w:val="none"/>
        </w:rPr>
      </w:pPr>
      <w:r>
        <w:rPr>
          <w:rFonts w:hint="eastAsia" w:hAnsi="宋体"/>
          <w:color w:val="auto"/>
          <w:sz w:val="22"/>
          <w:highlight w:val="none"/>
        </w:rPr>
        <w:t xml:space="preserve">本表可在不改变格式的情况下根据具体需要自行增减。 </w:t>
      </w:r>
    </w:p>
    <w:p>
      <w:pPr>
        <w:pStyle w:val="20"/>
        <w:ind w:left="4605" w:leftChars="2193"/>
        <w:rPr>
          <w:rFonts w:hAnsi="宋体"/>
          <w:color w:val="auto"/>
          <w:sz w:val="22"/>
          <w:highlight w:val="none"/>
        </w:rPr>
      </w:pP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投标人名称（盖章）：</w:t>
      </w: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法定代表人或授权代表（签字或盖章）：</w:t>
      </w:r>
    </w:p>
    <w:p>
      <w:pPr>
        <w:spacing w:line="380" w:lineRule="exact"/>
        <w:ind w:firstLine="4111"/>
        <w:rPr>
          <w:rFonts w:ascii="宋体" w:hAnsi="宋体" w:cs="宋体"/>
          <w:color w:val="auto"/>
          <w:sz w:val="22"/>
          <w:szCs w:val="22"/>
          <w:highlight w:val="none"/>
        </w:rPr>
      </w:pPr>
      <w:r>
        <w:rPr>
          <w:rFonts w:hint="eastAsia" w:ascii="宋体" w:hAnsi="宋体" w:cs="宋体"/>
          <w:color w:val="auto"/>
          <w:sz w:val="22"/>
          <w:szCs w:val="22"/>
          <w:highlight w:val="none"/>
        </w:rPr>
        <w:t>日 期：  年  月  日</w:t>
      </w:r>
    </w:p>
    <w:p>
      <w:pPr>
        <w:spacing w:line="440" w:lineRule="exact"/>
        <w:jc w:val="center"/>
        <w:rPr>
          <w:rFonts w:ascii="宋体" w:hAnsi="宋体"/>
          <w:color w:val="auto"/>
          <w:sz w:val="22"/>
          <w:szCs w:val="22"/>
          <w:highlight w:val="none"/>
        </w:rPr>
      </w:pPr>
    </w:p>
    <w:p>
      <w:pPr>
        <w:spacing w:line="380" w:lineRule="exact"/>
        <w:rPr>
          <w:rFonts w:ascii="宋体" w:hAnsi="宋体"/>
          <w:color w:val="auto"/>
          <w:sz w:val="22"/>
          <w:szCs w:val="22"/>
          <w:highlight w:val="none"/>
        </w:rPr>
      </w:pPr>
    </w:p>
    <w:p>
      <w:pPr>
        <w:spacing w:line="380" w:lineRule="exact"/>
        <w:rPr>
          <w:rFonts w:ascii="宋体" w:hAnsi="宋体"/>
          <w:color w:val="auto"/>
          <w:sz w:val="22"/>
          <w:szCs w:val="22"/>
          <w:highlight w:val="none"/>
        </w:rPr>
      </w:pPr>
    </w:p>
    <w:p>
      <w:pPr>
        <w:spacing w:after="240"/>
        <w:jc w:val="center"/>
        <w:rPr>
          <w:rFonts w:ascii="宋体" w:hAnsi="宋体"/>
          <w:b/>
          <w:color w:val="auto"/>
          <w:highlight w:val="none"/>
        </w:rPr>
      </w:pPr>
      <w:r>
        <w:rPr>
          <w:rFonts w:hint="eastAsia" w:ascii="宋体" w:hAnsi="宋体"/>
          <w:b/>
          <w:color w:val="auto"/>
          <w:highlight w:val="none"/>
        </w:rPr>
        <w:t xml:space="preserve"> （2）项目组人员一览表</w:t>
      </w:r>
    </w:p>
    <w:p>
      <w:pPr>
        <w:rPr>
          <w:b/>
          <w:color w:val="auto"/>
          <w:highlight w:val="none"/>
        </w:rPr>
      </w:pPr>
      <w:r>
        <w:rPr>
          <w:rFonts w:hint="eastAsia"/>
          <w:b/>
          <w:color w:val="auto"/>
          <w:sz w:val="22"/>
          <w:highlight w:val="none"/>
        </w:rPr>
        <w:t>项目名称：                                        项目编号：</w:t>
      </w:r>
    </w:p>
    <w:tbl>
      <w:tblPr>
        <w:tblStyle w:val="35"/>
        <w:tblW w:w="0" w:type="auto"/>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23"/>
        <w:gridCol w:w="918"/>
        <w:gridCol w:w="918"/>
        <w:gridCol w:w="1215"/>
        <w:gridCol w:w="1193"/>
        <w:gridCol w:w="1261"/>
        <w:gridCol w:w="1677"/>
        <w:gridCol w:w="188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792" w:hRule="atLeast"/>
        </w:trPr>
        <w:tc>
          <w:tcPr>
            <w:tcW w:w="823" w:type="dxa"/>
            <w:tcBorders>
              <w:top w:val="single" w:color="auto" w:sz="12" w:space="0"/>
              <w:left w:val="single" w:color="auto" w:sz="12"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姓名</w:t>
            </w:r>
          </w:p>
        </w:tc>
        <w:tc>
          <w:tcPr>
            <w:tcW w:w="918" w:type="dxa"/>
            <w:tcBorders>
              <w:top w:val="single" w:color="auto" w:sz="12"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性别</w:t>
            </w:r>
          </w:p>
        </w:tc>
        <w:tc>
          <w:tcPr>
            <w:tcW w:w="918" w:type="dxa"/>
            <w:tcBorders>
              <w:top w:val="single" w:color="auto" w:sz="12"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年龄</w:t>
            </w:r>
          </w:p>
        </w:tc>
        <w:tc>
          <w:tcPr>
            <w:tcW w:w="1215" w:type="dxa"/>
            <w:tcBorders>
              <w:top w:val="single" w:color="auto" w:sz="12"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学历/职称</w:t>
            </w:r>
          </w:p>
        </w:tc>
        <w:tc>
          <w:tcPr>
            <w:tcW w:w="1193" w:type="dxa"/>
            <w:tcBorders>
              <w:top w:val="single" w:color="auto" w:sz="12"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专业</w:t>
            </w:r>
          </w:p>
        </w:tc>
        <w:tc>
          <w:tcPr>
            <w:tcW w:w="1261" w:type="dxa"/>
            <w:tcBorders>
              <w:top w:val="single" w:color="auto" w:sz="12" w:space="0"/>
              <w:left w:val="single" w:color="auto" w:sz="4" w:space="0"/>
              <w:bottom w:val="single" w:color="auto" w:sz="4" w:space="0"/>
              <w:right w:val="single" w:color="auto" w:sz="4" w:space="0"/>
            </w:tcBorders>
            <w:vAlign w:val="center"/>
          </w:tcPr>
          <w:p>
            <w:pPr>
              <w:rPr>
                <w:color w:val="auto"/>
                <w:sz w:val="22"/>
                <w:highlight w:val="none"/>
              </w:rPr>
            </w:pPr>
            <w:r>
              <w:rPr>
                <w:rFonts w:hint="eastAsia"/>
                <w:color w:val="auto"/>
                <w:highlight w:val="none"/>
              </w:rPr>
              <w:t>专业工作年限</w:t>
            </w:r>
          </w:p>
        </w:tc>
        <w:tc>
          <w:tcPr>
            <w:tcW w:w="1677" w:type="dxa"/>
            <w:tcBorders>
              <w:top w:val="single" w:color="auto" w:sz="12" w:space="0"/>
              <w:left w:val="single" w:color="auto" w:sz="4" w:space="0"/>
              <w:bottom w:val="single" w:color="auto" w:sz="4" w:space="0"/>
              <w:right w:val="single" w:color="auto" w:sz="4" w:space="0"/>
            </w:tcBorders>
            <w:vAlign w:val="center"/>
          </w:tcPr>
          <w:p>
            <w:pPr>
              <w:jc w:val="center"/>
              <w:rPr>
                <w:color w:val="auto"/>
                <w:sz w:val="22"/>
                <w:highlight w:val="none"/>
              </w:rPr>
            </w:pPr>
            <w:r>
              <w:rPr>
                <w:rFonts w:hint="eastAsia"/>
                <w:color w:val="auto"/>
                <w:sz w:val="22"/>
                <w:highlight w:val="none"/>
              </w:rPr>
              <w:t>主要业绩</w:t>
            </w:r>
          </w:p>
        </w:tc>
        <w:tc>
          <w:tcPr>
            <w:tcW w:w="1884" w:type="dxa"/>
            <w:tcBorders>
              <w:top w:val="single" w:color="auto" w:sz="12" w:space="0"/>
              <w:left w:val="single" w:color="auto" w:sz="4" w:space="0"/>
              <w:bottom w:val="single" w:color="auto" w:sz="4" w:space="0"/>
              <w:right w:val="single" w:color="auto" w:sz="12" w:space="0"/>
            </w:tcBorders>
            <w:vAlign w:val="center"/>
          </w:tcPr>
          <w:p>
            <w:pPr>
              <w:jc w:val="center"/>
              <w:rPr>
                <w:color w:val="auto"/>
                <w:sz w:val="22"/>
                <w:highlight w:val="none"/>
              </w:rPr>
            </w:pPr>
            <w:r>
              <w:rPr>
                <w:rFonts w:hint="eastAsia"/>
                <w:color w:val="auto"/>
                <w:sz w:val="22"/>
                <w:highlight w:val="none"/>
              </w:rPr>
              <w:t>拟任何职</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cantSplit/>
          <w:trHeight w:val="688" w:hRule="exact"/>
        </w:trPr>
        <w:tc>
          <w:tcPr>
            <w:tcW w:w="823" w:type="dxa"/>
            <w:tcBorders>
              <w:top w:val="single" w:color="auto" w:sz="4" w:space="0"/>
              <w:left w:val="single" w:color="auto" w:sz="12"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918"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15"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193"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261"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677" w:type="dxa"/>
            <w:tcBorders>
              <w:top w:val="single" w:color="auto" w:sz="4" w:space="0"/>
              <w:left w:val="single" w:color="auto" w:sz="4" w:space="0"/>
              <w:bottom w:val="single" w:color="auto" w:sz="4" w:space="0"/>
              <w:right w:val="single" w:color="auto" w:sz="4" w:space="0"/>
            </w:tcBorders>
            <w:vAlign w:val="center"/>
          </w:tcPr>
          <w:p>
            <w:pPr>
              <w:jc w:val="center"/>
              <w:rPr>
                <w:color w:val="auto"/>
                <w:sz w:val="28"/>
                <w:highlight w:val="none"/>
              </w:rPr>
            </w:pPr>
          </w:p>
        </w:tc>
        <w:tc>
          <w:tcPr>
            <w:tcW w:w="1884" w:type="dxa"/>
            <w:tcBorders>
              <w:top w:val="single" w:color="auto" w:sz="4" w:space="0"/>
              <w:left w:val="single" w:color="auto" w:sz="4" w:space="0"/>
              <w:bottom w:val="single" w:color="auto" w:sz="4" w:space="0"/>
              <w:right w:val="single" w:color="auto" w:sz="12" w:space="0"/>
            </w:tcBorders>
            <w:vAlign w:val="center"/>
          </w:tcPr>
          <w:p>
            <w:pPr>
              <w:jc w:val="center"/>
              <w:rPr>
                <w:color w:val="auto"/>
                <w:sz w:val="28"/>
                <w:highlight w:val="none"/>
              </w:rPr>
            </w:pPr>
          </w:p>
        </w:tc>
      </w:tr>
    </w:tbl>
    <w:p>
      <w:pPr>
        <w:spacing w:line="440" w:lineRule="exact"/>
        <w:rPr>
          <w:b/>
          <w:color w:val="auto"/>
          <w:sz w:val="22"/>
          <w:highlight w:val="none"/>
        </w:rPr>
      </w:pPr>
      <w:r>
        <w:rPr>
          <w:rFonts w:hint="eastAsia"/>
          <w:color w:val="auto"/>
          <w:sz w:val="22"/>
          <w:highlight w:val="none"/>
        </w:rPr>
        <w:t>注：1、本表应附所列项目组成员毕业证书、职称证书（或学位证书）、身份证、社保等证明等复印件。</w:t>
      </w:r>
    </w:p>
    <w:p>
      <w:pPr>
        <w:pStyle w:val="20"/>
        <w:tabs>
          <w:tab w:val="left" w:pos="0"/>
          <w:tab w:val="left" w:pos="540"/>
        </w:tabs>
        <w:spacing w:line="440" w:lineRule="exact"/>
        <w:ind w:left="438" w:leftChars="156" w:hanging="110" w:hangingChars="50"/>
        <w:rPr>
          <w:rFonts w:hAnsi="宋体"/>
          <w:color w:val="auto"/>
          <w:sz w:val="22"/>
          <w:szCs w:val="22"/>
          <w:highlight w:val="none"/>
        </w:rPr>
      </w:pPr>
      <w:r>
        <w:rPr>
          <w:rFonts w:hint="eastAsia" w:hAnsi="宋体"/>
          <w:color w:val="auto"/>
          <w:sz w:val="22"/>
          <w:szCs w:val="22"/>
          <w:highlight w:val="none"/>
        </w:rPr>
        <w:t>2、此表仅提供了表格形式，可按此表格复制。</w:t>
      </w:r>
    </w:p>
    <w:p>
      <w:pPr>
        <w:ind w:firstLine="433" w:firstLineChars="196"/>
        <w:rPr>
          <w:rFonts w:ascii="宋体" w:hAnsi="宋体" w:cs="宋体"/>
          <w:b/>
          <w:bCs/>
          <w:color w:val="auto"/>
          <w:sz w:val="22"/>
          <w:szCs w:val="22"/>
          <w:highlight w:val="none"/>
        </w:rPr>
      </w:pPr>
    </w:p>
    <w:p>
      <w:pPr>
        <w:pStyle w:val="17"/>
        <w:ind w:firstLine="210"/>
        <w:rPr>
          <w:color w:val="auto"/>
          <w:highlight w:val="none"/>
        </w:rPr>
      </w:pPr>
    </w:p>
    <w:p>
      <w:pPr>
        <w:spacing w:line="360" w:lineRule="auto"/>
        <w:ind w:firstLine="630" w:firstLineChars="300"/>
        <w:rPr>
          <w:rFonts w:ascii="Arial" w:hAnsi="Arial" w:cs="Arial"/>
          <w:color w:val="auto"/>
          <w:szCs w:val="21"/>
          <w:highlight w:val="none"/>
        </w:rPr>
      </w:pPr>
      <w:r>
        <w:rPr>
          <w:rFonts w:ascii="Arial" w:hAnsi="宋体" w:cs="Arial"/>
          <w:color w:val="auto"/>
          <w:szCs w:val="21"/>
          <w:highlight w:val="none"/>
        </w:rPr>
        <w:t>投标人全称（盖章）：</w:t>
      </w:r>
    </w:p>
    <w:p>
      <w:pPr>
        <w:spacing w:line="360" w:lineRule="auto"/>
        <w:ind w:firstLine="630" w:firstLineChars="300"/>
        <w:rPr>
          <w:rFonts w:ascii="Arial" w:hAnsi="Arial" w:cs="Arial"/>
          <w:color w:val="auto"/>
          <w:szCs w:val="21"/>
          <w:highlight w:val="none"/>
        </w:rPr>
      </w:pPr>
      <w:r>
        <w:rPr>
          <w:rFonts w:ascii="Arial" w:hAnsi="宋体" w:cs="Arial"/>
          <w:color w:val="auto"/>
          <w:szCs w:val="21"/>
          <w:highlight w:val="none"/>
        </w:rPr>
        <w:t>法定代表人或授权代表（签字</w:t>
      </w:r>
      <w:r>
        <w:rPr>
          <w:rFonts w:hint="eastAsia" w:ascii="Arial" w:hAnsi="宋体" w:cs="Arial"/>
          <w:color w:val="auto"/>
          <w:szCs w:val="21"/>
          <w:highlight w:val="none"/>
        </w:rPr>
        <w:t>或盖章</w:t>
      </w:r>
      <w:r>
        <w:rPr>
          <w:rFonts w:ascii="Arial" w:hAnsi="宋体" w:cs="Arial"/>
          <w:color w:val="auto"/>
          <w:szCs w:val="21"/>
          <w:highlight w:val="none"/>
        </w:rPr>
        <w:t>）：</w:t>
      </w:r>
    </w:p>
    <w:p>
      <w:pPr>
        <w:ind w:firstLine="621" w:firstLineChars="296"/>
        <w:rPr>
          <w:rFonts w:ascii="宋体" w:hAnsi="宋体" w:cs="宋体"/>
          <w:b/>
          <w:bCs/>
          <w:color w:val="auto"/>
          <w:sz w:val="24"/>
          <w:highlight w:val="none"/>
        </w:rPr>
      </w:pPr>
      <w:r>
        <w:rPr>
          <w:rFonts w:ascii="Arial" w:hAnsi="宋体" w:cs="Arial"/>
          <w:color w:val="auto"/>
          <w:szCs w:val="21"/>
          <w:highlight w:val="none"/>
        </w:rPr>
        <w:t>日</w:t>
      </w:r>
      <w:r>
        <w:rPr>
          <w:rFonts w:ascii="Arial" w:hAnsi="Arial" w:cs="Arial"/>
          <w:color w:val="auto"/>
          <w:szCs w:val="21"/>
          <w:highlight w:val="none"/>
        </w:rPr>
        <w:t xml:space="preserve"> </w:t>
      </w:r>
      <w:r>
        <w:rPr>
          <w:rFonts w:ascii="Arial" w:hAnsi="宋体" w:cs="Arial"/>
          <w:color w:val="auto"/>
          <w:szCs w:val="21"/>
          <w:highlight w:val="none"/>
        </w:rPr>
        <w:t>期：</w:t>
      </w:r>
      <w:r>
        <w:rPr>
          <w:rFonts w:ascii="Arial" w:hAnsi="Arial" w:cs="Arial"/>
          <w:color w:val="auto"/>
          <w:szCs w:val="21"/>
          <w:highlight w:val="none"/>
        </w:rPr>
        <w:t xml:space="preserve">  </w:t>
      </w:r>
      <w:r>
        <w:rPr>
          <w:rFonts w:ascii="Arial" w:hAnsi="宋体" w:cs="Arial"/>
          <w:color w:val="auto"/>
          <w:szCs w:val="21"/>
          <w:highlight w:val="none"/>
        </w:rPr>
        <w:t>年</w:t>
      </w:r>
      <w:r>
        <w:rPr>
          <w:rFonts w:ascii="Arial" w:hAnsi="Arial" w:cs="Arial"/>
          <w:color w:val="auto"/>
          <w:szCs w:val="21"/>
          <w:highlight w:val="none"/>
        </w:rPr>
        <w:t xml:space="preserve">  </w:t>
      </w:r>
      <w:r>
        <w:rPr>
          <w:rFonts w:ascii="Arial" w:hAnsi="宋体" w:cs="Arial"/>
          <w:color w:val="auto"/>
          <w:szCs w:val="21"/>
          <w:highlight w:val="none"/>
        </w:rPr>
        <w:t>月</w:t>
      </w:r>
      <w:r>
        <w:rPr>
          <w:rFonts w:ascii="Arial" w:hAnsi="Arial" w:cs="Arial"/>
          <w:color w:val="auto"/>
          <w:szCs w:val="21"/>
          <w:highlight w:val="none"/>
        </w:rPr>
        <w:t xml:space="preserve">  </w:t>
      </w:r>
      <w:r>
        <w:rPr>
          <w:rFonts w:ascii="Arial" w:hAnsi="宋体" w:cs="Arial"/>
          <w:color w:val="auto"/>
          <w:szCs w:val="21"/>
          <w:highlight w:val="none"/>
        </w:rPr>
        <w:t>日</w:t>
      </w:r>
    </w:p>
    <w:p>
      <w:pPr>
        <w:tabs>
          <w:tab w:val="left" w:pos="-180"/>
          <w:tab w:val="left" w:pos="180"/>
          <w:tab w:val="left" w:pos="360"/>
        </w:tabs>
        <w:spacing w:line="440" w:lineRule="exact"/>
        <w:ind w:left="422" w:leftChars="38" w:hanging="342" w:hangingChars="155"/>
        <w:rPr>
          <w:rFonts w:ascii="宋体" w:hAnsi="宋体" w:cs="宋体"/>
          <w:b/>
          <w:color w:val="auto"/>
          <w:sz w:val="22"/>
          <w:highlight w:val="none"/>
        </w:rPr>
      </w:pPr>
    </w:p>
    <w:p>
      <w:pPr>
        <w:adjustRightInd w:val="0"/>
        <w:snapToGrid w:val="0"/>
        <w:spacing w:line="440" w:lineRule="exact"/>
        <w:ind w:firstLine="440" w:firstLineChars="200"/>
        <w:rPr>
          <w:rFonts w:ascii="宋体" w:hAnsi="宋体" w:cs="宋体"/>
          <w:b/>
          <w:bCs/>
          <w:color w:val="auto"/>
          <w:sz w:val="22"/>
          <w:szCs w:val="22"/>
          <w:highlight w:val="none"/>
        </w:rPr>
      </w:pPr>
      <w:r>
        <w:rPr>
          <w:rFonts w:hint="eastAsia" w:ascii="宋体" w:hAnsi="宋体" w:cs="宋体"/>
          <w:color w:val="auto"/>
          <w:sz w:val="22"/>
          <w:szCs w:val="22"/>
          <w:highlight w:val="none"/>
        </w:rPr>
        <w:br w:type="page"/>
      </w:r>
      <w:r>
        <w:rPr>
          <w:rFonts w:hint="eastAsia" w:ascii="宋体" w:hAnsi="宋体" w:cs="宋体"/>
          <w:b/>
          <w:bCs/>
          <w:color w:val="auto"/>
          <w:sz w:val="22"/>
          <w:szCs w:val="22"/>
          <w:highlight w:val="none"/>
        </w:rPr>
        <w:t>附件七</w:t>
      </w:r>
    </w:p>
    <w:p>
      <w:pPr>
        <w:jc w:val="center"/>
        <w:rPr>
          <w:rFonts w:ascii="宋体" w:hAnsi="宋体"/>
          <w:b/>
          <w:color w:val="auto"/>
          <w:spacing w:val="6"/>
          <w:sz w:val="22"/>
          <w:szCs w:val="22"/>
          <w:highlight w:val="none"/>
        </w:rPr>
      </w:pPr>
      <w:r>
        <w:rPr>
          <w:rFonts w:hint="eastAsia" w:ascii="宋体" w:hAnsi="宋体"/>
          <w:b/>
          <w:color w:val="auto"/>
          <w:spacing w:val="6"/>
          <w:sz w:val="22"/>
          <w:szCs w:val="22"/>
          <w:highlight w:val="none"/>
        </w:rPr>
        <w:t>国企采购活动现场确认声明书</w:t>
      </w:r>
    </w:p>
    <w:p>
      <w:pPr>
        <w:tabs>
          <w:tab w:val="left" w:pos="795"/>
          <w:tab w:val="center" w:pos="4873"/>
        </w:tabs>
        <w:overflowPunct w:val="0"/>
        <w:spacing w:line="460" w:lineRule="exact"/>
        <w:ind w:firstLine="118" w:firstLineChars="49"/>
        <w:jc w:val="left"/>
        <w:rPr>
          <w:rFonts w:ascii="宋体" w:hAnsi="宋体" w:cs="Arial"/>
          <w:b/>
          <w:bCs/>
          <w:color w:val="auto"/>
          <w:sz w:val="24"/>
          <w:highlight w:val="none"/>
        </w:rPr>
      </w:pPr>
    </w:p>
    <w:p>
      <w:pPr>
        <w:pStyle w:val="105"/>
        <w:widowControl w:val="0"/>
        <w:snapToGrid w:val="0"/>
        <w:spacing w:line="440" w:lineRule="exact"/>
        <w:jc w:val="both"/>
        <w:rPr>
          <w:rFonts w:hint="default" w:hAnsi="宋体"/>
          <w:b/>
          <w:color w:val="auto"/>
          <w:spacing w:val="6"/>
          <w:sz w:val="22"/>
          <w:szCs w:val="22"/>
          <w:highlight w:val="none"/>
          <w:u w:val="single"/>
        </w:rPr>
      </w:pPr>
      <w:r>
        <w:rPr>
          <w:rFonts w:hAnsi="宋体"/>
          <w:b/>
          <w:color w:val="auto"/>
          <w:spacing w:val="6"/>
          <w:sz w:val="22"/>
          <w:szCs w:val="22"/>
          <w:highlight w:val="none"/>
          <w:u w:val="single"/>
        </w:rPr>
        <w:t>浙江东方职业技术学院</w:t>
      </w:r>
      <w:r>
        <w:rPr>
          <w:rFonts w:hAnsi="宋体"/>
          <w:b/>
          <w:color w:val="auto"/>
          <w:spacing w:val="6"/>
          <w:sz w:val="22"/>
          <w:szCs w:val="22"/>
          <w:highlight w:val="none"/>
        </w:rPr>
        <w:t>：</w:t>
      </w:r>
    </w:p>
    <w:p>
      <w:pPr>
        <w:pStyle w:val="105"/>
        <w:widowControl w:val="0"/>
        <w:snapToGrid w:val="0"/>
        <w:spacing w:line="440" w:lineRule="exact"/>
        <w:jc w:val="both"/>
        <w:rPr>
          <w:rFonts w:hint="default" w:hAnsi="宋体"/>
          <w:b/>
          <w:color w:val="auto"/>
          <w:spacing w:val="6"/>
          <w:sz w:val="22"/>
          <w:szCs w:val="22"/>
          <w:highlight w:val="none"/>
          <w:u w:val="single"/>
        </w:rPr>
      </w:pPr>
      <w:r>
        <w:rPr>
          <w:rFonts w:hAnsi="宋体"/>
          <w:b/>
          <w:color w:val="auto"/>
          <w:spacing w:val="6"/>
          <w:sz w:val="22"/>
          <w:szCs w:val="22"/>
          <w:highlight w:val="none"/>
          <w:u w:val="single"/>
        </w:rPr>
        <w:t>温州元信工程项目管理有限公司</w:t>
      </w:r>
      <w:r>
        <w:rPr>
          <w:rFonts w:hAnsi="宋体"/>
          <w:b/>
          <w:color w:val="auto"/>
          <w:kern w:val="0"/>
          <w:sz w:val="22"/>
          <w:szCs w:val="22"/>
          <w:highlight w:val="none"/>
        </w:rPr>
        <w:t>：</w:t>
      </w:r>
    </w:p>
    <w:p>
      <w:pPr>
        <w:pStyle w:val="105"/>
        <w:widowControl w:val="0"/>
        <w:snapToGrid w:val="0"/>
        <w:spacing w:line="440" w:lineRule="exact"/>
        <w:ind w:firstLine="464" w:firstLineChars="200"/>
        <w:jc w:val="both"/>
        <w:rPr>
          <w:rFonts w:hint="default" w:hAnsi="宋体"/>
          <w:color w:val="auto"/>
          <w:spacing w:val="6"/>
          <w:sz w:val="22"/>
          <w:szCs w:val="22"/>
          <w:highlight w:val="none"/>
        </w:rPr>
      </w:pPr>
      <w:r>
        <w:rPr>
          <w:rFonts w:hAnsi="宋体"/>
          <w:color w:val="auto"/>
          <w:spacing w:val="6"/>
          <w:sz w:val="22"/>
          <w:szCs w:val="22"/>
          <w:highlight w:val="none"/>
        </w:rPr>
        <w:t>本人经由</w:t>
      </w:r>
      <w:r>
        <w:rPr>
          <w:rFonts w:hAnsi="宋体"/>
          <w:color w:val="auto"/>
          <w:spacing w:val="6"/>
          <w:sz w:val="22"/>
          <w:szCs w:val="22"/>
          <w:highlight w:val="none"/>
          <w:u w:val="single"/>
        </w:rPr>
        <w:t xml:space="preserve">                       （单位）</w:t>
      </w:r>
      <w:r>
        <w:rPr>
          <w:rFonts w:hAnsi="宋体"/>
          <w:color w:val="auto"/>
          <w:spacing w:val="6"/>
          <w:sz w:val="22"/>
          <w:szCs w:val="22"/>
          <w:highlight w:val="none"/>
        </w:rPr>
        <w:t>负责人</w:t>
      </w:r>
      <w:r>
        <w:rPr>
          <w:rFonts w:hAnsi="宋体"/>
          <w:color w:val="auto"/>
          <w:spacing w:val="6"/>
          <w:sz w:val="22"/>
          <w:szCs w:val="22"/>
          <w:highlight w:val="none"/>
          <w:u w:val="single"/>
        </w:rPr>
        <w:t xml:space="preserve">          （姓名）</w:t>
      </w:r>
      <w:r>
        <w:rPr>
          <w:rFonts w:hAnsi="宋体"/>
          <w:color w:val="auto"/>
          <w:spacing w:val="6"/>
          <w:sz w:val="22"/>
          <w:szCs w:val="22"/>
          <w:highlight w:val="none"/>
        </w:rPr>
        <w:t>合法授权</w:t>
      </w:r>
      <w:r>
        <w:rPr>
          <w:rFonts w:hint="eastAsia" w:hAnsi="宋体"/>
          <w:color w:val="auto"/>
          <w:spacing w:val="6"/>
          <w:sz w:val="22"/>
          <w:szCs w:val="22"/>
          <w:highlight w:val="none"/>
          <w:u w:val="single"/>
          <w:lang w:eastAsia="zh-CN"/>
        </w:rPr>
        <w:t>教育部职业院校中台数据对接服务</w:t>
      </w:r>
      <w:r>
        <w:rPr>
          <w:rFonts w:hint="eastAsia" w:hAnsi="宋体"/>
          <w:color w:val="auto"/>
          <w:spacing w:val="6"/>
          <w:sz w:val="22"/>
          <w:szCs w:val="22"/>
          <w:highlight w:val="none"/>
          <w:u w:val="none"/>
          <w:lang w:val="en-US" w:eastAsia="zh-CN"/>
        </w:rPr>
        <w:t>项目</w:t>
      </w:r>
      <w:r>
        <w:rPr>
          <w:rFonts w:hAnsi="宋体"/>
          <w:color w:val="auto"/>
          <w:spacing w:val="6"/>
          <w:sz w:val="22"/>
          <w:szCs w:val="22"/>
          <w:highlight w:val="none"/>
        </w:rPr>
        <w:t>（编号：</w:t>
      </w:r>
      <w:r>
        <w:rPr>
          <w:rFonts w:hAnsi="宋体"/>
          <w:color w:val="auto"/>
          <w:spacing w:val="6"/>
          <w:sz w:val="22"/>
          <w:szCs w:val="22"/>
          <w:highlight w:val="none"/>
          <w:u w:val="single"/>
        </w:rPr>
        <w:t>WGSS-XDJT-Z-2024016</w:t>
      </w:r>
      <w:r>
        <w:rPr>
          <w:rFonts w:hAnsi="宋体"/>
          <w:color w:val="auto"/>
          <w:spacing w:val="6"/>
          <w:sz w:val="22"/>
          <w:szCs w:val="22"/>
          <w:highlight w:val="none"/>
        </w:rPr>
        <w:t xml:space="preserve">）国企采购活动，经与本单位法人代表（负责人）联系确认，现就有关公平竞争事项郑重声明如下： </w:t>
      </w:r>
    </w:p>
    <w:p>
      <w:pPr>
        <w:pStyle w:val="95"/>
        <w:widowControl/>
        <w:numPr>
          <w:ilvl w:val="0"/>
          <w:numId w:val="39"/>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kern w:val="0"/>
          <w:sz w:val="22"/>
          <w:szCs w:val="22"/>
          <w:highlight w:val="none"/>
        </w:rPr>
        <w:t xml:space="preserve">本单位与采购人之间 </w:t>
      </w:r>
      <w:r>
        <w:rPr>
          <w:rFonts w:ascii="宋体" w:hAnsi="宋体" w:cs="宋体"/>
          <w:color w:val="auto"/>
          <w:kern w:val="0"/>
          <w:sz w:val="22"/>
          <w:szCs w:val="22"/>
          <w:highlight w:val="none"/>
        </w:rPr>
        <w:t>□</w:t>
      </w:r>
      <w:r>
        <w:rPr>
          <w:rFonts w:ascii="宋体" w:hAnsi="宋体"/>
          <w:color w:val="auto"/>
          <w:kern w:val="0"/>
          <w:sz w:val="22"/>
          <w:szCs w:val="22"/>
          <w:highlight w:val="none"/>
        </w:rPr>
        <w:t xml:space="preserve">不存在利害关系 </w:t>
      </w:r>
      <w:r>
        <w:rPr>
          <w:rFonts w:ascii="宋体" w:hAnsi="宋体" w:cs="宋体"/>
          <w:color w:val="auto"/>
          <w:kern w:val="0"/>
          <w:sz w:val="22"/>
          <w:szCs w:val="22"/>
          <w:highlight w:val="none"/>
        </w:rPr>
        <w:t>□</w:t>
      </w:r>
      <w:r>
        <w:rPr>
          <w:rFonts w:ascii="宋体" w:hAnsi="宋体"/>
          <w:color w:val="auto"/>
          <w:kern w:val="0"/>
          <w:sz w:val="22"/>
          <w:szCs w:val="22"/>
          <w:highlight w:val="none"/>
        </w:rPr>
        <w:t>存在下列利害关系</w:t>
      </w:r>
      <w:r>
        <w:rPr>
          <w:rFonts w:ascii="宋体" w:hAnsi="宋体"/>
          <w:color w:val="auto"/>
          <w:kern w:val="0"/>
          <w:sz w:val="22"/>
          <w:szCs w:val="22"/>
          <w:highlight w:val="none"/>
          <w:u w:val="single"/>
        </w:rPr>
        <w:t xml:space="preserve">           </w:t>
      </w:r>
      <w:r>
        <w:rPr>
          <w:rFonts w:ascii="宋体" w:hAnsi="宋体"/>
          <w:color w:val="auto"/>
          <w:kern w:val="0"/>
          <w:sz w:val="22"/>
          <w:szCs w:val="22"/>
          <w:highlight w:val="none"/>
        </w:rPr>
        <w:t>：</w:t>
      </w:r>
    </w:p>
    <w:p>
      <w:pPr>
        <w:pStyle w:val="95"/>
        <w:widowControl/>
        <w:snapToGrid w:val="0"/>
        <w:spacing w:line="440" w:lineRule="exact"/>
        <w:rPr>
          <w:rFonts w:hint="default" w:ascii="宋体" w:hAnsi="宋体"/>
          <w:color w:val="auto"/>
          <w:kern w:val="0"/>
          <w:sz w:val="22"/>
          <w:szCs w:val="22"/>
          <w:highlight w:val="none"/>
        </w:rPr>
      </w:pPr>
      <w:r>
        <w:rPr>
          <w:rFonts w:ascii="宋体" w:hAnsi="宋体"/>
          <w:color w:val="auto"/>
          <w:kern w:val="0"/>
          <w:sz w:val="22"/>
          <w:szCs w:val="22"/>
          <w:highlight w:val="none"/>
        </w:rPr>
        <w:t xml:space="preserve">  A.投资关系    B.行政隶属关系    C.业务指导关系</w:t>
      </w:r>
    </w:p>
    <w:p>
      <w:pPr>
        <w:pStyle w:val="95"/>
        <w:widowControl/>
        <w:snapToGrid w:val="0"/>
        <w:spacing w:line="440" w:lineRule="exact"/>
        <w:rPr>
          <w:rFonts w:hint="default" w:ascii="宋体" w:hAnsi="宋体"/>
          <w:color w:val="auto"/>
          <w:kern w:val="0"/>
          <w:sz w:val="22"/>
          <w:szCs w:val="22"/>
          <w:highlight w:val="none"/>
        </w:rPr>
      </w:pPr>
      <w:r>
        <w:rPr>
          <w:rFonts w:ascii="宋体" w:hAnsi="宋体"/>
          <w:color w:val="auto"/>
          <w:kern w:val="0"/>
          <w:sz w:val="22"/>
          <w:szCs w:val="22"/>
          <w:highlight w:val="none"/>
        </w:rPr>
        <w:t xml:space="preserve">  D.其他可能</w:t>
      </w:r>
      <w:r>
        <w:rPr>
          <w:rFonts w:ascii="宋体" w:hAnsi="宋体"/>
          <w:color w:val="auto"/>
          <w:sz w:val="22"/>
          <w:szCs w:val="22"/>
          <w:highlight w:val="none"/>
        </w:rPr>
        <w:t>影响采购公正的</w:t>
      </w:r>
      <w:r>
        <w:rPr>
          <w:rFonts w:ascii="宋体" w:hAnsi="宋体"/>
          <w:color w:val="auto"/>
          <w:kern w:val="0"/>
          <w:sz w:val="22"/>
          <w:szCs w:val="22"/>
          <w:highlight w:val="none"/>
        </w:rPr>
        <w:t>利害关系</w:t>
      </w:r>
      <w:r>
        <w:rPr>
          <w:rFonts w:ascii="宋体" w:hAnsi="宋体"/>
          <w:color w:val="auto"/>
          <w:kern w:val="0"/>
          <w:sz w:val="22"/>
          <w:szCs w:val="22"/>
          <w:highlight w:val="none"/>
          <w:u w:val="single"/>
        </w:rPr>
        <w:t xml:space="preserve">（如有，请如实说明）                 </w:t>
      </w:r>
      <w:r>
        <w:rPr>
          <w:rFonts w:ascii="宋体" w:hAnsi="宋体"/>
          <w:color w:val="auto"/>
          <w:kern w:val="0"/>
          <w:sz w:val="22"/>
          <w:szCs w:val="22"/>
          <w:highlight w:val="none"/>
        </w:rPr>
        <w:t>。</w:t>
      </w:r>
    </w:p>
    <w:p>
      <w:pPr>
        <w:pStyle w:val="95"/>
        <w:widowControl/>
        <w:snapToGrid w:val="0"/>
        <w:spacing w:line="440" w:lineRule="exact"/>
        <w:rPr>
          <w:rFonts w:hint="default" w:ascii="宋体" w:hAnsi="宋体"/>
          <w:color w:val="auto"/>
          <w:kern w:val="0"/>
          <w:sz w:val="22"/>
          <w:szCs w:val="22"/>
          <w:highlight w:val="none"/>
        </w:rPr>
      </w:pPr>
      <w:r>
        <w:rPr>
          <w:rFonts w:ascii="宋体" w:hAnsi="宋体"/>
          <w:color w:val="auto"/>
          <w:spacing w:val="6"/>
          <w:sz w:val="22"/>
          <w:szCs w:val="22"/>
          <w:highlight w:val="none"/>
        </w:rPr>
        <w:t xml:space="preserve">  二、</w:t>
      </w:r>
      <w:r>
        <w:rPr>
          <w:rFonts w:ascii="宋体" w:hAnsi="宋体"/>
          <w:color w:val="auto"/>
          <w:kern w:val="0"/>
          <w:sz w:val="22"/>
          <w:szCs w:val="22"/>
          <w:highlight w:val="none"/>
        </w:rPr>
        <w:t xml:space="preserve">现已清楚知道参加本项目采购活动的其他所有供应商名称，本单位 </w:t>
      </w:r>
      <w:r>
        <w:rPr>
          <w:rFonts w:ascii="宋体" w:hAnsi="宋体" w:cs="宋体"/>
          <w:color w:val="auto"/>
          <w:kern w:val="0"/>
          <w:sz w:val="22"/>
          <w:szCs w:val="22"/>
          <w:highlight w:val="none"/>
        </w:rPr>
        <w:t>□与其他所有供应商之间均</w:t>
      </w:r>
      <w:r>
        <w:rPr>
          <w:rFonts w:ascii="宋体" w:hAnsi="宋体"/>
          <w:color w:val="auto"/>
          <w:kern w:val="0"/>
          <w:sz w:val="22"/>
          <w:szCs w:val="22"/>
          <w:highlight w:val="none"/>
        </w:rPr>
        <w:t xml:space="preserve">不存在利害关系 </w:t>
      </w:r>
      <w:r>
        <w:rPr>
          <w:rFonts w:ascii="宋体" w:hAnsi="宋体" w:cs="宋体"/>
          <w:color w:val="auto"/>
          <w:kern w:val="0"/>
          <w:sz w:val="22"/>
          <w:szCs w:val="22"/>
          <w:highlight w:val="none"/>
        </w:rPr>
        <w:t>□与</w:t>
      </w:r>
      <w:r>
        <w:rPr>
          <w:rFonts w:ascii="宋体" w:hAnsi="宋体" w:cs="宋体"/>
          <w:color w:val="auto"/>
          <w:kern w:val="0"/>
          <w:sz w:val="22"/>
          <w:szCs w:val="22"/>
          <w:highlight w:val="none"/>
          <w:u w:val="single"/>
        </w:rPr>
        <w:t xml:space="preserve">           （供应商名称）</w:t>
      </w:r>
      <w:r>
        <w:rPr>
          <w:rFonts w:ascii="宋体" w:hAnsi="宋体" w:cs="宋体"/>
          <w:color w:val="auto"/>
          <w:kern w:val="0"/>
          <w:sz w:val="22"/>
          <w:szCs w:val="22"/>
          <w:highlight w:val="none"/>
        </w:rPr>
        <w:t>之间</w:t>
      </w:r>
      <w:r>
        <w:rPr>
          <w:rFonts w:ascii="宋体" w:hAnsi="宋体"/>
          <w:color w:val="auto"/>
          <w:kern w:val="0"/>
          <w:sz w:val="22"/>
          <w:szCs w:val="22"/>
          <w:highlight w:val="none"/>
        </w:rPr>
        <w:t>存在下列利害关系</w:t>
      </w:r>
      <w:r>
        <w:rPr>
          <w:rFonts w:ascii="宋体" w:hAnsi="宋体"/>
          <w:color w:val="auto"/>
          <w:kern w:val="0"/>
          <w:sz w:val="22"/>
          <w:szCs w:val="22"/>
          <w:highlight w:val="none"/>
          <w:u w:val="single"/>
        </w:rPr>
        <w:t xml:space="preserve">          </w:t>
      </w:r>
      <w:r>
        <w:rPr>
          <w:rFonts w:ascii="宋体" w:hAnsi="宋体"/>
          <w:color w:val="auto"/>
          <w:kern w:val="0"/>
          <w:sz w:val="22"/>
          <w:szCs w:val="22"/>
          <w:highlight w:val="none"/>
        </w:rPr>
        <w:t>：</w:t>
      </w:r>
    </w:p>
    <w:p>
      <w:pPr>
        <w:pStyle w:val="105"/>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A.法定代表人或负责人或实际控制人是同一人</w:t>
      </w:r>
    </w:p>
    <w:p>
      <w:pPr>
        <w:pStyle w:val="105"/>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B.法定代表人或负责人或实际控制人是夫妻关系</w:t>
      </w:r>
    </w:p>
    <w:p>
      <w:pPr>
        <w:pStyle w:val="105"/>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C.法定代表人或负责人或实际控制人是直系血亲关系</w:t>
      </w:r>
    </w:p>
    <w:p>
      <w:pPr>
        <w:pStyle w:val="105"/>
        <w:widowControl w:val="0"/>
        <w:snapToGrid w:val="0"/>
        <w:spacing w:line="440" w:lineRule="exact"/>
        <w:jc w:val="both"/>
        <w:rPr>
          <w:rFonts w:hint="default" w:hAnsi="宋体"/>
          <w:color w:val="auto"/>
          <w:spacing w:val="6"/>
          <w:sz w:val="22"/>
          <w:szCs w:val="22"/>
          <w:highlight w:val="none"/>
        </w:rPr>
      </w:pPr>
      <w:r>
        <w:rPr>
          <w:rFonts w:hAnsi="宋体"/>
          <w:color w:val="auto"/>
          <w:kern w:val="0"/>
          <w:sz w:val="22"/>
          <w:szCs w:val="22"/>
          <w:highlight w:val="none"/>
        </w:rPr>
        <w:t xml:space="preserve">  D.法定代表人或负责人或实际控制人存在三代以内旁系血亲关系</w:t>
      </w:r>
    </w:p>
    <w:p>
      <w:pPr>
        <w:pStyle w:val="105"/>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E.法定代表人或负责人或实际控制人存在近姻亲关系</w:t>
      </w:r>
    </w:p>
    <w:p>
      <w:pPr>
        <w:pStyle w:val="105"/>
        <w:widowControl w:val="0"/>
        <w:snapToGrid w:val="0"/>
        <w:spacing w:line="440" w:lineRule="exact"/>
        <w:jc w:val="both"/>
        <w:rPr>
          <w:rFonts w:hint="default" w:hAnsi="宋体"/>
          <w:color w:val="auto"/>
          <w:kern w:val="0"/>
          <w:sz w:val="22"/>
          <w:szCs w:val="22"/>
          <w:highlight w:val="none"/>
        </w:rPr>
      </w:pPr>
      <w:r>
        <w:rPr>
          <w:rFonts w:hAnsi="宋体"/>
          <w:color w:val="auto"/>
          <w:kern w:val="0"/>
          <w:sz w:val="22"/>
          <w:szCs w:val="22"/>
          <w:highlight w:val="none"/>
        </w:rPr>
        <w:t xml:space="preserve">  F.法定代表人或负责人或实际控制人存在股份控制或实际控制关系</w:t>
      </w:r>
    </w:p>
    <w:p>
      <w:pPr>
        <w:pStyle w:val="105"/>
        <w:widowControl w:val="0"/>
        <w:snapToGrid w:val="0"/>
        <w:spacing w:line="440" w:lineRule="exact"/>
        <w:jc w:val="both"/>
        <w:outlineLvl w:val="0"/>
        <w:rPr>
          <w:rFonts w:hint="default" w:hAnsi="宋体"/>
          <w:color w:val="auto"/>
          <w:kern w:val="0"/>
          <w:sz w:val="22"/>
          <w:szCs w:val="22"/>
          <w:highlight w:val="none"/>
        </w:rPr>
      </w:pPr>
      <w:r>
        <w:rPr>
          <w:rFonts w:hAnsi="宋体"/>
          <w:color w:val="auto"/>
          <w:kern w:val="0"/>
          <w:sz w:val="22"/>
          <w:szCs w:val="22"/>
          <w:highlight w:val="none"/>
        </w:rPr>
        <w:t xml:space="preserve">  </w:t>
      </w:r>
      <w:bookmarkStart w:id="190" w:name="_Toc22301"/>
      <w:bookmarkStart w:id="191" w:name="_Toc43827503"/>
      <w:bookmarkStart w:id="192" w:name="_Toc16722"/>
      <w:bookmarkStart w:id="193" w:name="_Toc7728"/>
      <w:r>
        <w:rPr>
          <w:rFonts w:hAnsi="宋体"/>
          <w:color w:val="auto"/>
          <w:kern w:val="0"/>
          <w:sz w:val="22"/>
          <w:szCs w:val="22"/>
          <w:highlight w:val="none"/>
        </w:rPr>
        <w:t>G.存在共同直接或间接投资设立子公司、联营企业和合营企业情况</w:t>
      </w:r>
      <w:bookmarkEnd w:id="190"/>
      <w:bookmarkEnd w:id="191"/>
      <w:bookmarkEnd w:id="192"/>
      <w:bookmarkEnd w:id="193"/>
    </w:p>
    <w:p>
      <w:pPr>
        <w:pStyle w:val="105"/>
        <w:widowControl w:val="0"/>
        <w:snapToGrid w:val="0"/>
        <w:spacing w:line="440" w:lineRule="exact"/>
        <w:jc w:val="both"/>
        <w:rPr>
          <w:rFonts w:hint="default" w:hAnsi="宋体"/>
          <w:color w:val="auto"/>
          <w:sz w:val="22"/>
          <w:szCs w:val="22"/>
          <w:highlight w:val="none"/>
        </w:rPr>
      </w:pPr>
      <w:r>
        <w:rPr>
          <w:rFonts w:hAnsi="宋体"/>
          <w:color w:val="auto"/>
          <w:kern w:val="0"/>
          <w:sz w:val="22"/>
          <w:szCs w:val="22"/>
          <w:highlight w:val="none"/>
        </w:rPr>
        <w:t xml:space="preserve">  H.存在分级代理或代销关系、同一生产制造商关系、</w:t>
      </w:r>
      <w:r>
        <w:rPr>
          <w:rFonts w:hAnsi="宋体"/>
          <w:color w:val="auto"/>
          <w:sz w:val="22"/>
          <w:szCs w:val="22"/>
          <w:highlight w:val="none"/>
        </w:rPr>
        <w:t>管理关系、重要业务（占主营业务收入50%以上）或重要财务往来关系（如融资）等其他实质性控制关系</w:t>
      </w:r>
    </w:p>
    <w:p>
      <w:pPr>
        <w:pStyle w:val="105"/>
        <w:widowControl w:val="0"/>
        <w:snapToGrid w:val="0"/>
        <w:spacing w:line="440" w:lineRule="exact"/>
        <w:jc w:val="both"/>
        <w:rPr>
          <w:rFonts w:hint="default" w:hAnsi="宋体"/>
          <w:color w:val="auto"/>
          <w:spacing w:val="6"/>
          <w:sz w:val="22"/>
          <w:szCs w:val="22"/>
          <w:highlight w:val="none"/>
        </w:rPr>
      </w:pPr>
      <w:r>
        <w:rPr>
          <w:rFonts w:hAnsi="宋体"/>
          <w:color w:val="auto"/>
          <w:sz w:val="22"/>
          <w:szCs w:val="22"/>
          <w:highlight w:val="none"/>
        </w:rPr>
        <w:t xml:space="preserve">  I</w:t>
      </w:r>
      <w:r>
        <w:rPr>
          <w:rFonts w:hAnsi="宋体"/>
          <w:color w:val="auto"/>
          <w:kern w:val="0"/>
          <w:sz w:val="22"/>
          <w:szCs w:val="22"/>
          <w:highlight w:val="none"/>
        </w:rPr>
        <w:t>.</w:t>
      </w:r>
      <w:r>
        <w:rPr>
          <w:rFonts w:hAnsi="宋体"/>
          <w:color w:val="auto"/>
          <w:sz w:val="22"/>
          <w:szCs w:val="22"/>
          <w:highlight w:val="none"/>
        </w:rPr>
        <w:t>其他利害关系情况</w:t>
      </w:r>
      <w:r>
        <w:rPr>
          <w:rFonts w:hAnsi="宋体"/>
          <w:color w:val="auto"/>
          <w:sz w:val="22"/>
          <w:szCs w:val="22"/>
          <w:highlight w:val="none"/>
          <w:u w:val="single"/>
        </w:rPr>
        <w:t xml:space="preserve">                              </w:t>
      </w:r>
      <w:r>
        <w:rPr>
          <w:rFonts w:hAnsi="宋体"/>
          <w:color w:val="auto"/>
          <w:kern w:val="0"/>
          <w:sz w:val="22"/>
          <w:szCs w:val="22"/>
          <w:highlight w:val="none"/>
        </w:rPr>
        <w:t>。</w:t>
      </w:r>
    </w:p>
    <w:p>
      <w:pPr>
        <w:pStyle w:val="95"/>
        <w:widowControl/>
        <w:numPr>
          <w:ilvl w:val="0"/>
          <w:numId w:val="40"/>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sz w:val="22"/>
          <w:szCs w:val="22"/>
          <w:highlight w:val="none"/>
        </w:rPr>
        <w:t>现已清楚知道并</w:t>
      </w:r>
      <w:r>
        <w:rPr>
          <w:rFonts w:ascii="宋体" w:hAnsi="宋体"/>
          <w:color w:val="auto"/>
          <w:kern w:val="0"/>
          <w:sz w:val="22"/>
          <w:szCs w:val="22"/>
          <w:highlight w:val="none"/>
        </w:rPr>
        <w:t>严格遵守国企采购法律法规和现场纪律。</w:t>
      </w:r>
    </w:p>
    <w:p>
      <w:pPr>
        <w:pStyle w:val="95"/>
        <w:widowControl/>
        <w:numPr>
          <w:ilvl w:val="0"/>
          <w:numId w:val="40"/>
        </w:numPr>
        <w:snapToGrid w:val="0"/>
        <w:spacing w:line="440" w:lineRule="exact"/>
        <w:ind w:firstLine="415" w:firstLineChars="189"/>
        <w:rPr>
          <w:rFonts w:hint="default" w:ascii="宋体" w:hAnsi="宋体"/>
          <w:color w:val="auto"/>
          <w:kern w:val="0"/>
          <w:sz w:val="22"/>
          <w:szCs w:val="22"/>
          <w:highlight w:val="none"/>
        </w:rPr>
      </w:pPr>
      <w:r>
        <w:rPr>
          <w:rFonts w:ascii="宋体" w:hAnsi="宋体"/>
          <w:color w:val="auto"/>
          <w:kern w:val="0"/>
          <w:sz w:val="22"/>
          <w:szCs w:val="22"/>
          <w:highlight w:val="none"/>
        </w:rPr>
        <w:t>我发现</w:t>
      </w:r>
      <w:r>
        <w:rPr>
          <w:rFonts w:ascii="宋体" w:hAnsi="宋体"/>
          <w:color w:val="auto"/>
          <w:kern w:val="0"/>
          <w:sz w:val="22"/>
          <w:szCs w:val="22"/>
          <w:highlight w:val="none"/>
          <w:u w:val="single"/>
        </w:rPr>
        <w:t xml:space="preserve">                    </w:t>
      </w:r>
      <w:r>
        <w:rPr>
          <w:rFonts w:ascii="宋体" w:hAnsi="宋体"/>
          <w:color w:val="auto"/>
          <w:kern w:val="0"/>
          <w:sz w:val="22"/>
          <w:szCs w:val="22"/>
          <w:highlight w:val="none"/>
        </w:rPr>
        <w:t>供应商之间存在或可能存在上述第二条第</w:t>
      </w:r>
      <w:r>
        <w:rPr>
          <w:rFonts w:ascii="宋体" w:hAnsi="宋体"/>
          <w:color w:val="auto"/>
          <w:kern w:val="0"/>
          <w:sz w:val="22"/>
          <w:szCs w:val="22"/>
          <w:highlight w:val="none"/>
          <w:u w:val="single"/>
        </w:rPr>
        <w:t xml:space="preserve">        </w:t>
      </w:r>
      <w:r>
        <w:rPr>
          <w:rFonts w:ascii="宋体" w:hAnsi="宋体"/>
          <w:color w:val="auto"/>
          <w:kern w:val="0"/>
          <w:sz w:val="22"/>
          <w:szCs w:val="22"/>
          <w:highlight w:val="none"/>
        </w:rPr>
        <w:t>项利害关系。</w:t>
      </w:r>
    </w:p>
    <w:p>
      <w:pPr>
        <w:pStyle w:val="105"/>
        <w:widowControl w:val="0"/>
        <w:snapToGrid w:val="0"/>
        <w:spacing w:line="440" w:lineRule="exact"/>
        <w:ind w:firstLine="440" w:firstLineChars="200"/>
        <w:jc w:val="both"/>
        <w:rPr>
          <w:rFonts w:hint="default" w:hAnsi="宋体"/>
          <w:color w:val="auto"/>
          <w:sz w:val="22"/>
          <w:szCs w:val="22"/>
          <w:highlight w:val="none"/>
        </w:rPr>
      </w:pPr>
    </w:p>
    <w:p>
      <w:pPr>
        <w:pStyle w:val="105"/>
        <w:widowControl w:val="0"/>
        <w:snapToGrid w:val="0"/>
        <w:spacing w:line="440" w:lineRule="exact"/>
        <w:ind w:firstLine="440" w:firstLineChars="200"/>
        <w:jc w:val="both"/>
        <w:rPr>
          <w:rFonts w:hint="default" w:hAnsi="宋体"/>
          <w:color w:val="auto"/>
          <w:sz w:val="22"/>
          <w:szCs w:val="22"/>
          <w:highlight w:val="none"/>
        </w:rPr>
      </w:pPr>
      <w:r>
        <w:rPr>
          <w:rFonts w:hAnsi="宋体"/>
          <w:color w:val="auto"/>
          <w:sz w:val="22"/>
          <w:szCs w:val="22"/>
          <w:highlight w:val="none"/>
        </w:rPr>
        <w:t xml:space="preserve">                                供应商代表签名：</w:t>
      </w:r>
    </w:p>
    <w:p>
      <w:pPr>
        <w:pStyle w:val="105"/>
        <w:widowControl w:val="0"/>
        <w:snapToGrid w:val="0"/>
        <w:spacing w:line="440" w:lineRule="exact"/>
        <w:ind w:firstLine="440" w:firstLineChars="200"/>
        <w:jc w:val="both"/>
        <w:rPr>
          <w:rFonts w:hint="default" w:hAnsi="宋体"/>
          <w:color w:val="auto"/>
          <w:sz w:val="22"/>
          <w:szCs w:val="22"/>
          <w:highlight w:val="none"/>
        </w:rPr>
      </w:pPr>
      <w:r>
        <w:rPr>
          <w:rFonts w:hAnsi="宋体"/>
          <w:color w:val="auto"/>
          <w:sz w:val="22"/>
          <w:szCs w:val="22"/>
          <w:highlight w:val="none"/>
        </w:rPr>
        <w:t xml:space="preserve">                                    年   月   日</w:t>
      </w:r>
      <w:r>
        <w:rPr>
          <w:rFonts w:hAnsi="宋体"/>
          <w:color w:val="auto"/>
          <w:highlight w:val="none"/>
        </w:rPr>
        <w:t xml:space="preserve"> </w:t>
      </w:r>
    </w:p>
    <w:p>
      <w:pPr>
        <w:rPr>
          <w:color w:val="auto"/>
          <w:highlight w:val="none"/>
        </w:rPr>
      </w:pPr>
    </w:p>
    <w:sectPr>
      <w:headerReference r:id="rId5" w:type="default"/>
      <w:footerReference r:id="rId6" w:type="default"/>
      <w:pgSz w:w="11906" w:h="16838"/>
      <w:pgMar w:top="1134" w:right="1134" w:bottom="1134" w:left="1134" w:header="851" w:footer="850" w:gutter="0"/>
      <w:cols w:space="720" w:num="1"/>
      <w:titlePg/>
      <w:docGrid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EFF" w:usb1="C000785B" w:usb2="00000009" w:usb3="00000000" w:csb0="400001FF" w:csb1="FFFF0000"/>
  </w:font>
  <w:font w:name="宋体">
    <w:panose1 w:val="02010600030101010101"/>
    <w:charset w:val="80"/>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0000000000000000000"/>
    <w:charset w:val="86"/>
    <w:family w:val="modern"/>
    <w:pitch w:val="default"/>
    <w:sig w:usb0="00000000" w:usb1="00000000" w:usb2="00000016" w:usb3="00000000" w:csb0="00040001" w:csb1="00000000"/>
  </w:font>
  <w:font w:name="Cambria">
    <w:panose1 w:val="02040503050406030204"/>
    <w:charset w:val="00"/>
    <w:family w:val="roman"/>
    <w:pitch w:val="default"/>
    <w:sig w:usb0="E00006FF" w:usb1="420024FF" w:usb2="02000000" w:usb3="00000000" w:csb0="2000019F" w:csb1="00000000"/>
  </w:font>
  <w:font w:name="DFKai-SB">
    <w:altName w:val="Microsoft JhengHei Light"/>
    <w:panose1 w:val="00000000000000000000"/>
    <w:charset w:val="88"/>
    <w:family w:val="script"/>
    <w:pitch w:val="default"/>
    <w:sig w:usb0="00000000" w:usb1="00000000" w:usb2="00000016" w:usb3="00000000" w:csb0="00100001" w:csb1="00000000"/>
  </w:font>
  <w:font w:name="新宋体">
    <w:panose1 w:val="02010609030101010101"/>
    <w:charset w:val="86"/>
    <w:family w:val="modern"/>
    <w:pitch w:val="default"/>
    <w:sig w:usb0="00000203" w:usb1="288F0000" w:usb2="00000006" w:usb3="00000000" w:csb0="00040001" w:csb1="00000000"/>
  </w:font>
  <w:font w:name="宋体,Verdana,Arial">
    <w:altName w:val="宋体"/>
    <w:panose1 w:val="00000000000000000000"/>
    <w:charset w:val="86"/>
    <w:family w:val="roman"/>
    <w:pitch w:val="default"/>
    <w:sig w:usb0="00000000" w:usb1="00000000" w:usb2="00000010" w:usb3="00000000" w:csb0="00040000" w:csb1="00000000"/>
  </w:font>
  <w:font w:name="Tahoma">
    <w:panose1 w:val="020B0604030504040204"/>
    <w:charset w:val="00"/>
    <w:family w:val="swiss"/>
    <w:pitch w:val="default"/>
    <w:sig w:usb0="E1002EFF" w:usb1="C000605B" w:usb2="00000029" w:usb3="00000000" w:csb0="200101FF" w:csb1="20280000"/>
  </w:font>
  <w:font w:name="仿宋_GB2312">
    <w:altName w:val="仿宋"/>
    <w:panose1 w:val="00000000000000000000"/>
    <w:charset w:val="86"/>
    <w:family w:val="modern"/>
    <w:pitch w:val="default"/>
    <w:sig w:usb0="00000000" w:usb1="00000000" w:usb2="00000016" w:usb3="00000000" w:csb0="00040001" w:csb1="00000000"/>
  </w:font>
  <w:font w:name="仿宋">
    <w:panose1 w:val="02010609060101010101"/>
    <w:charset w:val="86"/>
    <w:family w:val="modern"/>
    <w:pitch w:val="default"/>
    <w:sig w:usb0="800002BF" w:usb1="38CF7CFA" w:usb2="00000016" w:usb3="00000000" w:csb0="00040001" w:csb1="00000000"/>
  </w:font>
  <w:font w:name="Arial Unicode MS">
    <w:altName w:val="宋体"/>
    <w:panose1 w:val="020B0604020202020204"/>
    <w:charset w:val="86"/>
    <w:family w:val="swiss"/>
    <w:pitch w:val="default"/>
    <w:sig w:usb0="00000000" w:usb1="00000000" w:usb2="0000003F" w:usb3="00000000" w:csb0="603F01FF" w:csb1="FFFF0000"/>
  </w:font>
  <w:font w:name="Verdana">
    <w:panose1 w:val="020B0604030504040204"/>
    <w:charset w:val="00"/>
    <w:family w:val="swiss"/>
    <w:pitch w:val="default"/>
    <w:sig w:usb0="A00006FF" w:usb1="4000205B" w:usb2="00000010" w:usb3="00000000" w:csb0="2000019F" w:csb1="00000000"/>
  </w:font>
  <w:font w:name="Arial Narrow">
    <w:panose1 w:val="020B0606020202030204"/>
    <w:charset w:val="00"/>
    <w:family w:val="swiss"/>
    <w:pitch w:val="default"/>
    <w:sig w:usb0="00000287" w:usb1="00000800" w:usb2="00000000" w:usb3="00000000" w:csb0="2000009F" w:csb1="DFD70000"/>
  </w:font>
  <w:font w:name="Wingdings 2">
    <w:panose1 w:val="05020102010507070707"/>
    <w:charset w:val="02"/>
    <w:family w:val="roman"/>
    <w:pitch w:val="default"/>
    <w:sig w:usb0="00000000" w:usb1="00000000" w:usb2="00000000" w:usb3="00000000" w:csb0="80000000" w:csb1="00000000"/>
  </w:font>
  <w:font w:name="hakuyoxingshu7000">
    <w:altName w:val="宋体"/>
    <w:panose1 w:val="00000000000000000000"/>
    <w:charset w:val="86"/>
    <w:family w:val="auto"/>
    <w:pitch w:val="default"/>
    <w:sig w:usb0="00000000" w:usb1="00000000" w:usb2="0000003F" w:usb3="00000000" w:csb0="603F00FF" w:csb1="FFFF0000"/>
  </w:font>
  <w:font w:name="微软雅黑">
    <w:panose1 w:val="020B0503020204020204"/>
    <w:charset w:val="86"/>
    <w:family w:val="swiss"/>
    <w:pitch w:val="default"/>
    <w:sig w:usb0="80000287" w:usb1="2ACF3C50" w:usb2="00000016" w:usb3="00000000" w:csb0="0004001F" w:csb1="00000000"/>
  </w:font>
  <w:font w:name="Century Gothic">
    <w:panose1 w:val="020B0502020202020204"/>
    <w:charset w:val="00"/>
    <w:family w:val="swiss"/>
    <w:pitch w:val="default"/>
    <w:sig w:usb0="00000287" w:usb1="00000000" w:usb2="00000000" w:usb3="00000000" w:csb0="2000009F" w:csb1="DFD7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57785" cy="131445"/>
              <wp:effectExtent l="0" t="0" r="0" b="0"/>
              <wp:wrapNone/>
              <wp:docPr id="1752509258" name="文本框 1044"/>
              <wp:cNvGraphicFramePr/>
              <a:graphic xmlns:a="http://schemas.openxmlformats.org/drawingml/2006/main">
                <a:graphicData uri="http://schemas.microsoft.com/office/word/2010/wordprocessingShape">
                  <wps:wsp>
                    <wps:cNvSpPr txBox="1">
                      <a:spLocks noChangeArrowheads="1"/>
                    </wps:cNvSpPr>
                    <wps:spPr bwMode="auto">
                      <a:xfrm>
                        <a:off x="0" y="0"/>
                        <a:ext cx="57785" cy="131445"/>
                      </a:xfrm>
                      <a:prstGeom prst="rect">
                        <a:avLst/>
                      </a:prstGeom>
                      <a:noFill/>
                      <a:ln>
                        <a:noFill/>
                      </a:ln>
                    </wps:spPr>
                    <wps:txbx>
                      <w:txbxContent>
                        <w:p>
                          <w:pPr>
                            <w:pStyle w:val="25"/>
                            <w:jc w:val="center"/>
                          </w:pPr>
                          <w:r>
                            <w:fldChar w:fldCharType="begin"/>
                          </w:r>
                          <w:r>
                            <w:instrText xml:space="preserve"> PAGE   \* MERGEFORMAT </w:instrText>
                          </w:r>
                          <w:r>
                            <w:fldChar w:fldCharType="separate"/>
                          </w:r>
                          <w:r>
                            <w:rPr>
                              <w:lang w:val="zh-CN"/>
                            </w:rPr>
                            <w:t>27</w:t>
                          </w:r>
                          <w:r>
                            <w:fldChar w:fldCharType="end"/>
                          </w:r>
                        </w:p>
                      </w:txbxContent>
                    </wps:txbx>
                    <wps:bodyPr rot="0" vert="horz" wrap="none" lIns="0" tIns="0" rIns="0" bIns="0" anchor="t" anchorCtr="0" upright="1">
                      <a:spAutoFit/>
                    </wps:bodyPr>
                  </wps:wsp>
                </a:graphicData>
              </a:graphic>
            </wp:anchor>
          </w:drawing>
        </mc:Choice>
        <mc:Fallback>
          <w:pict>
            <v:shape id="文本框 1044" o:spid="_x0000_s1026" o:spt="202" type="#_x0000_t202" style="position:absolute;left:0pt;margin-top:0pt;height:10.35pt;width:4.55pt;mso-position-horizontal:center;mso-position-horizontal-relative:margin;mso-wrap-style:none;z-index:251659264;mso-width-relative:page;mso-height-relative:page;" filled="f" stroked="f" coordsize="21600,21600" o:gfxdata="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M+L3UTQAAAAAgEAAA8AAAAAAAAAAQAgAAAAIgAAAGRycy9kb3ducmV2LnhtbFBLAQIUABQA&#10;AAAIAIdO4kDIeZry+AEAAL8DAAAOAAAAAAAAAAEAIAAAAB8BAABkcnMvZTJvRG9jLnhtbFBLBQYA&#10;AAAABgAGAFkBAACJBQ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27</w:t>
                    </w:r>
                    <w:r>
                      <w:fldChar w:fldCharType="end"/>
                    </w:r>
                  </w:p>
                </w:txbxContent>
              </v:textbox>
            </v:shape>
          </w:pict>
        </mc:Fallback>
      </mc:AlternateContent>
    </w:r>
  </w:p>
  <w:p>
    <w:pPr>
      <w:pStyle w:val="25"/>
    </w:pPr>
  </w:p>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5"/>
      <w:jc w:val="cente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14935" cy="131445"/>
              <wp:effectExtent l="0" t="0" r="0" b="0"/>
              <wp:wrapNone/>
              <wp:docPr id="407929919" name="文本框 1026"/>
              <wp:cNvGraphicFramePr/>
              <a:graphic xmlns:a="http://schemas.openxmlformats.org/drawingml/2006/main">
                <a:graphicData uri="http://schemas.microsoft.com/office/word/2010/wordprocessingShape">
                  <wps:wsp>
                    <wps:cNvSpPr txBox="1">
                      <a:spLocks noChangeArrowheads="1"/>
                    </wps:cNvSpPr>
                    <wps:spPr bwMode="auto">
                      <a:xfrm>
                        <a:off x="0" y="0"/>
                        <a:ext cx="114935" cy="131445"/>
                      </a:xfrm>
                      <a:prstGeom prst="rect">
                        <a:avLst/>
                      </a:prstGeom>
                      <a:noFill/>
                      <a:ln>
                        <a:noFill/>
                      </a:ln>
                    </wps:spPr>
                    <wps:txbx>
                      <w:txbxContent>
                        <w:p>
                          <w:pPr>
                            <w:pStyle w:val="25"/>
                            <w:jc w:val="center"/>
                          </w:pPr>
                          <w:r>
                            <w:fldChar w:fldCharType="begin"/>
                          </w:r>
                          <w:r>
                            <w:instrText xml:space="preserve"> PAGE   \* MERGEFORMAT </w:instrText>
                          </w:r>
                          <w:r>
                            <w:fldChar w:fldCharType="separate"/>
                          </w:r>
                          <w:r>
                            <w:rPr>
                              <w:lang w:val="zh-CN"/>
                            </w:rPr>
                            <w:t>27</w:t>
                          </w:r>
                          <w:r>
                            <w:fldChar w:fldCharType="end"/>
                          </w:r>
                        </w:p>
                      </w:txbxContent>
                    </wps:txbx>
                    <wps:bodyPr rot="0" vert="horz" wrap="none" lIns="0" tIns="0" rIns="0" bIns="0" anchor="t" anchorCtr="0" upright="1">
                      <a:spAutoFit/>
                    </wps:bodyPr>
                  </wps:wsp>
                </a:graphicData>
              </a:graphic>
            </wp:anchor>
          </w:drawing>
        </mc:Choice>
        <mc:Fallback>
          <w:pict>
            <v:shape id="文本框 1026" o:spid="_x0000_s1026" o:spt="202" type="#_x0000_t202" style="position:absolute;left:0pt;margin-top:0pt;height:10.35pt;width:9.05pt;mso-position-horizontal:center;mso-position-horizontal-relative:margin;mso-wrap-style:none;z-index:251660288;mso-width-relative:page;mso-height-relative:page;" filled="f" stroked="f" coordsize="21600,21600" o:gfxdata="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">
              <v:fill on="f" focussize="0,0"/>
              <v:stroke on="f"/>
              <v:imagedata o:title=""/>
              <o:lock v:ext="edit" aspectratio="f"/>
              <v:textbox inset="0mm,0mm,0mm,0mm" style="mso-fit-shape-to-text:t;">
                <w:txbxContent>
                  <w:p>
                    <w:pPr>
                      <w:pStyle w:val="25"/>
                      <w:jc w:val="center"/>
                    </w:pPr>
                    <w:r>
                      <w:fldChar w:fldCharType="begin"/>
                    </w:r>
                    <w:r>
                      <w:instrText xml:space="preserve"> PAGE   \* MERGEFORMAT </w:instrText>
                    </w:r>
                    <w:r>
                      <w:fldChar w:fldCharType="separate"/>
                    </w:r>
                    <w:r>
                      <w:rPr>
                        <w:lang w:val="zh-CN"/>
                      </w:rPr>
                      <w:t>27</w:t>
                    </w:r>
                    <w:r>
                      <w:fldChar w:fldCharType="end"/>
                    </w:r>
                  </w:p>
                </w:txbxContent>
              </v:textbox>
            </v:shape>
          </w:pict>
        </mc:Fallback>
      </mc:AlternateContent>
    </w:r>
  </w:p>
  <w:p>
    <w:pPr>
      <w:pStyle w:val="25"/>
    </w:pPr>
  </w:p>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w:rPr>
        <w:rFonts w:hint="eastAsia" w:ascii="宋体" w:hAnsi="宋体"/>
      </w:rPr>
      <w:t>温州市国有企业采购文件</w:t>
    </w:r>
  </w:p>
  <w:p>
    <w:pPr>
      <w:rPr>
        <w:rFonts w:ascii="宋体" w:hAnsi="宋体"/>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6"/>
      <w:jc w:val="both"/>
      <w:rPr>
        <w:rFonts w:ascii="宋体" w:hAnsi="宋体"/>
      </w:rPr>
    </w:pPr>
    <w:r>
      <w:rPr>
        <w:rFonts w:hint="eastAsia" w:ascii="宋体" w:hAnsi="宋体"/>
      </w:rPr>
      <w:t>温州市国有企业采购文件</w:t>
    </w:r>
  </w:p>
  <w:p>
    <w:pPr>
      <w:rPr>
        <w:rFonts w:ascii="宋体" w:hAnsi="宋体"/>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8A9EFC4"/>
    <w:multiLevelType w:val="singleLevel"/>
    <w:tmpl w:val="A8A9EFC4"/>
    <w:lvl w:ilvl="0" w:tentative="0">
      <w:start w:val="3"/>
      <w:numFmt w:val="chineseCounting"/>
      <w:suff w:val="space"/>
      <w:lvlText w:val="第%1部分"/>
      <w:lvlJc w:val="left"/>
      <w:rPr>
        <w:rFonts w:hint="eastAsia"/>
      </w:rPr>
    </w:lvl>
  </w:abstractNum>
  <w:abstractNum w:abstractNumId="1">
    <w:nsid w:val="D89737C3"/>
    <w:multiLevelType w:val="singleLevel"/>
    <w:tmpl w:val="D89737C3"/>
    <w:lvl w:ilvl="0" w:tentative="0">
      <w:start w:val="1"/>
      <w:numFmt w:val="decimal"/>
      <w:lvlText w:val="%1)"/>
      <w:lvlJc w:val="left"/>
      <w:pPr>
        <w:ind w:left="425" w:hanging="425"/>
      </w:pPr>
      <w:rPr>
        <w:rFonts w:hint="default"/>
      </w:rPr>
    </w:lvl>
  </w:abstractNum>
  <w:abstractNum w:abstractNumId="2">
    <w:nsid w:val="E163C644"/>
    <w:multiLevelType w:val="singleLevel"/>
    <w:tmpl w:val="E163C644"/>
    <w:lvl w:ilvl="0" w:tentative="0">
      <w:start w:val="1"/>
      <w:numFmt w:val="chineseCounting"/>
      <w:suff w:val="nothing"/>
      <w:lvlText w:val="（%1）"/>
      <w:lvlJc w:val="left"/>
      <w:rPr>
        <w:rFonts w:hint="eastAsia"/>
      </w:rPr>
    </w:lvl>
  </w:abstractNum>
  <w:abstractNum w:abstractNumId="3">
    <w:nsid w:val="E8313B00"/>
    <w:multiLevelType w:val="singleLevel"/>
    <w:tmpl w:val="E8313B00"/>
    <w:lvl w:ilvl="0" w:tentative="0">
      <w:start w:val="1"/>
      <w:numFmt w:val="decimal"/>
      <w:lvlText w:val="%1."/>
      <w:lvlJc w:val="left"/>
      <w:pPr>
        <w:tabs>
          <w:tab w:val="left" w:pos="312"/>
        </w:tabs>
      </w:pPr>
    </w:lvl>
  </w:abstractNum>
  <w:abstractNum w:abstractNumId="4">
    <w:nsid w:val="00000001"/>
    <w:multiLevelType w:val="multilevel"/>
    <w:tmpl w:val="00000001"/>
    <w:lvl w:ilvl="0" w:tentative="0">
      <w:start w:val="1"/>
      <w:numFmt w:val="decimal"/>
      <w:lvlText w:val="（%1）"/>
      <w:lvlJc w:val="left"/>
      <w:pPr>
        <w:tabs>
          <w:tab w:val="left" w:pos="420"/>
        </w:tabs>
        <w:ind w:left="420" w:hanging="420"/>
      </w:pPr>
      <w:rPr>
        <w:rFonts w:hint="default" w:ascii="Times New Roman" w:hAnsi="Times New Roman" w:cs="Tahoma"/>
        <w:b w:val="0"/>
      </w:rPr>
    </w:lvl>
    <w:lvl w:ilvl="1" w:tentative="0">
      <w:start w:val="2"/>
      <w:numFmt w:val="decimal"/>
      <w:lvlText w:val="%2．"/>
      <w:lvlJc w:val="left"/>
      <w:pPr>
        <w:tabs>
          <w:tab w:val="left" w:pos="780"/>
        </w:tabs>
        <w:ind w:left="780" w:hanging="360"/>
      </w:pPr>
      <w:rPr>
        <w:rFonts w:hint="default"/>
        <w:color w:val="000000"/>
        <w:sz w:val="24"/>
      </w:rPr>
    </w:lvl>
    <w:lvl w:ilvl="2" w:tentative="0">
      <w:start w:val="1"/>
      <w:numFmt w:val="decimal"/>
      <w:lvlText w:val="%3."/>
      <w:lvlJc w:val="left"/>
      <w:pPr>
        <w:tabs>
          <w:tab w:val="left" w:pos="1200"/>
        </w:tabs>
        <w:ind w:left="1200" w:hanging="360"/>
      </w:pPr>
      <w:rPr>
        <w:rFonts w:hint="default"/>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5">
    <w:nsid w:val="00000002"/>
    <w:multiLevelType w:val="multilevel"/>
    <w:tmpl w:val="00000002"/>
    <w:lvl w:ilvl="0" w:tentative="0">
      <w:start w:val="1"/>
      <w:numFmt w:val="decimal"/>
      <w:lvlText w:val="%1)"/>
      <w:lvlJc w:val="left"/>
      <w:pPr>
        <w:tabs>
          <w:tab w:val="left" w:pos="780"/>
        </w:tabs>
        <w:ind w:left="780" w:hanging="420"/>
      </w:pPr>
      <w:rPr>
        <w:rFonts w:hint="default" w:ascii="Times New Roman" w:hAnsi="Times New Roman" w:cs="Times New Roman"/>
        <w:b w:val="0"/>
      </w:rPr>
    </w:lvl>
    <w:lvl w:ilvl="1" w:tentative="0">
      <w:start w:val="1"/>
      <w:numFmt w:val="lowerLetter"/>
      <w:lvlText w:val="%2)"/>
      <w:lvlJc w:val="left"/>
      <w:pPr>
        <w:tabs>
          <w:tab w:val="left" w:pos="840"/>
        </w:tabs>
        <w:ind w:left="840" w:hanging="420"/>
      </w:pPr>
      <w:rPr>
        <w:b w:val="0"/>
      </w:rPr>
    </w:lvl>
    <w:lvl w:ilvl="2" w:tentative="0">
      <w:start w:val="1"/>
      <w:numFmt w:val="chineseCountingThousand"/>
      <w:lvlText w:val="(%3)"/>
      <w:lvlJc w:val="left"/>
      <w:pPr>
        <w:tabs>
          <w:tab w:val="left" w:pos="600"/>
        </w:tabs>
        <w:ind w:left="600" w:hanging="420"/>
      </w:pPr>
      <w:rPr>
        <w:rFonts w:hint="eastAsia"/>
        <w:b w:val="0"/>
      </w:r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6">
    <w:nsid w:val="00000003"/>
    <w:multiLevelType w:val="multilevel"/>
    <w:tmpl w:val="00000003"/>
    <w:lvl w:ilvl="0" w:tentative="0">
      <w:start w:val="1"/>
      <w:numFmt w:val="none"/>
      <w:lvlText w:val=""/>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eastAsia" w:ascii="楷体_GB2312" w:hAnsi="Arial" w:eastAsia="楷体_GB2312" w:cs="Arial"/>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7">
    <w:nsid w:val="00000004"/>
    <w:multiLevelType w:val="multilevel"/>
    <w:tmpl w:val="00000004"/>
    <w:lvl w:ilvl="0" w:tentative="0">
      <w:start w:val="1"/>
      <w:numFmt w:val="none"/>
      <w:lvlText w:val=""/>
      <w:lvlJc w:val="left"/>
      <w:pPr>
        <w:tabs>
          <w:tab w:val="left" w:pos="425"/>
        </w:tabs>
        <w:ind w:left="425" w:hanging="425"/>
      </w:pPr>
      <w:rPr>
        <w:rFonts w:hint="eastAsia"/>
      </w:rPr>
    </w:lvl>
    <w:lvl w:ilvl="1" w:tentative="0">
      <w:start w:val="1"/>
      <w:numFmt w:val="decimal"/>
      <w:lvlText w:val="%12.%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8">
    <w:nsid w:val="00000005"/>
    <w:multiLevelType w:val="multilevel"/>
    <w:tmpl w:val="00000005"/>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1"/>
      <w:numFmt w:val="japaneseCounting"/>
      <w:lvlText w:val="%2、"/>
      <w:lvlJc w:val="left"/>
      <w:pPr>
        <w:tabs>
          <w:tab w:val="left" w:pos="870"/>
        </w:tabs>
        <w:ind w:left="870" w:hanging="450"/>
      </w:pPr>
      <w:rPr>
        <w:rFonts w:hint="default"/>
      </w:rPr>
    </w:lvl>
    <w:lvl w:ilvl="2" w:tentative="0">
      <w:start w:val="5"/>
      <w:numFmt w:val="decimal"/>
      <w:lvlText w:val="(%3)"/>
      <w:lvlJc w:val="left"/>
      <w:pPr>
        <w:tabs>
          <w:tab w:val="left" w:pos="1680"/>
        </w:tabs>
        <w:ind w:left="1680" w:hanging="840"/>
      </w:pPr>
      <w:rPr>
        <w:rFonts w:hint="default"/>
      </w:rPr>
    </w:lvl>
    <w:lvl w:ilvl="3" w:tentative="0">
      <w:start w:val="1"/>
      <w:numFmt w:val="decimal"/>
      <w:lvlText w:val="%4、"/>
      <w:lvlJc w:val="left"/>
      <w:pPr>
        <w:tabs>
          <w:tab w:val="left" w:pos="1620"/>
        </w:tabs>
        <w:ind w:left="1620" w:hanging="360"/>
      </w:pPr>
      <w:rPr>
        <w:rFonts w:hint="default"/>
      </w:rPr>
    </w:lvl>
    <w:lvl w:ilvl="4" w:tentative="0">
      <w:start w:val="3"/>
      <w:numFmt w:val="japaneseCounting"/>
      <w:lvlText w:val="（%5）"/>
      <w:lvlJc w:val="left"/>
      <w:pPr>
        <w:tabs>
          <w:tab w:val="left" w:pos="2400"/>
        </w:tabs>
        <w:ind w:left="2400" w:hanging="720"/>
      </w:pPr>
      <w:rPr>
        <w:rFonts w:hint="default" w:ascii="新宋体" w:hAnsi="新宋体" w:cs="Times New Roman"/>
      </w:rPr>
    </w:lvl>
    <w:lvl w:ilvl="5" w:tentative="0">
      <w:start w:val="1"/>
      <w:numFmt w:val="decimal"/>
      <w:lvlText w:val="（%6—"/>
      <w:lvlJc w:val="left"/>
      <w:pPr>
        <w:tabs>
          <w:tab w:val="left" w:pos="2820"/>
        </w:tabs>
        <w:ind w:left="2820" w:hanging="720"/>
      </w:pPr>
      <w:rPr>
        <w:rFonts w:hint="default"/>
      </w:rPr>
    </w:lvl>
    <w:lvl w:ilvl="6" w:tentative="0">
      <w:start w:val="1"/>
      <w:numFmt w:val="decimal"/>
      <w:lvlText w:val="（%7）"/>
      <w:lvlJc w:val="left"/>
      <w:pPr>
        <w:tabs>
          <w:tab w:val="left" w:pos="3600"/>
        </w:tabs>
        <w:ind w:left="3600" w:hanging="720"/>
      </w:pPr>
      <w:rPr>
        <w:rFonts w:hint="default"/>
      </w:r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9">
    <w:nsid w:val="00000006"/>
    <w:multiLevelType w:val="multilevel"/>
    <w:tmpl w:val="00000006"/>
    <w:lvl w:ilvl="0" w:tentative="0">
      <w:start w:val="1"/>
      <w:numFmt w:val="none"/>
      <w:lvlText w:val=""/>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0">
    <w:nsid w:val="00000008"/>
    <w:multiLevelType w:val="multilevel"/>
    <w:tmpl w:val="00000008"/>
    <w:lvl w:ilvl="0" w:tentative="0">
      <w:start w:val="1"/>
      <w:numFmt w:val="decimal"/>
      <w:lvlText w:val="%1."/>
      <w:lvlJc w:val="left"/>
      <w:pPr>
        <w:tabs>
          <w:tab w:val="left" w:pos="420"/>
        </w:tabs>
        <w:ind w:left="420" w:hanging="420"/>
      </w:pPr>
      <w:rPr>
        <w:rFonts w:hint="eastAsia" w:ascii="楷体_GB2312" w:hAnsi="Times New Roman" w:eastAsia="楷体_GB2312" w:cs="Times New Roman"/>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1">
    <w:nsid w:val="0000000A"/>
    <w:multiLevelType w:val="multilevel"/>
    <w:tmpl w:val="0000000A"/>
    <w:lvl w:ilvl="0" w:tentative="0">
      <w:start w:val="1"/>
      <w:numFmt w:val="bullet"/>
      <w:pStyle w:val="59"/>
      <w:lvlText w:val=""/>
      <w:lvlJc w:val="left"/>
      <w:pPr>
        <w:tabs>
          <w:tab w:val="left" w:pos="0"/>
        </w:tabs>
        <w:ind w:left="839" w:hanging="419"/>
      </w:pPr>
      <w:rPr>
        <w:rFonts w:hint="default" w:ascii="Wingdings" w:hAnsi="Wingdings"/>
        <w:sz w:val="21"/>
        <w:szCs w:val="21"/>
      </w:rPr>
    </w:lvl>
    <w:lvl w:ilvl="1" w:tentative="0">
      <w:start w:val="1"/>
      <w:numFmt w:val="decimal"/>
      <w:lvlText w:val="%2."/>
      <w:lvlJc w:val="left"/>
      <w:pPr>
        <w:tabs>
          <w:tab w:val="left" w:pos="1440"/>
        </w:tabs>
        <w:ind w:left="1440" w:hanging="360"/>
      </w:pPr>
    </w:lvl>
    <w:lvl w:ilvl="2" w:tentative="0">
      <w:start w:val="1"/>
      <w:numFmt w:val="decimal"/>
      <w:lvlText w:val="%3."/>
      <w:lvlJc w:val="left"/>
      <w:pPr>
        <w:tabs>
          <w:tab w:val="left" w:pos="2160"/>
        </w:tabs>
        <w:ind w:left="2160" w:hanging="360"/>
      </w:pPr>
    </w:lvl>
    <w:lvl w:ilvl="3" w:tentative="0">
      <w:start w:val="1"/>
      <w:numFmt w:val="decimal"/>
      <w:lvlText w:val="%4."/>
      <w:lvlJc w:val="left"/>
      <w:pPr>
        <w:tabs>
          <w:tab w:val="left" w:pos="2880"/>
        </w:tabs>
        <w:ind w:left="2880" w:hanging="360"/>
      </w:pPr>
    </w:lvl>
    <w:lvl w:ilvl="4" w:tentative="0">
      <w:start w:val="1"/>
      <w:numFmt w:val="decimal"/>
      <w:lvlText w:val="%5."/>
      <w:lvlJc w:val="left"/>
      <w:pPr>
        <w:tabs>
          <w:tab w:val="left" w:pos="3600"/>
        </w:tabs>
        <w:ind w:left="3600" w:hanging="360"/>
      </w:pPr>
    </w:lvl>
    <w:lvl w:ilvl="5" w:tentative="0">
      <w:start w:val="1"/>
      <w:numFmt w:val="decimal"/>
      <w:lvlText w:val="%6."/>
      <w:lvlJc w:val="left"/>
      <w:pPr>
        <w:tabs>
          <w:tab w:val="left" w:pos="4320"/>
        </w:tabs>
        <w:ind w:left="4320" w:hanging="360"/>
      </w:pPr>
    </w:lvl>
    <w:lvl w:ilvl="6" w:tentative="0">
      <w:start w:val="1"/>
      <w:numFmt w:val="decimal"/>
      <w:lvlText w:val="%7."/>
      <w:lvlJc w:val="left"/>
      <w:pPr>
        <w:tabs>
          <w:tab w:val="left" w:pos="5040"/>
        </w:tabs>
        <w:ind w:left="5040" w:hanging="360"/>
      </w:pPr>
    </w:lvl>
    <w:lvl w:ilvl="7" w:tentative="0">
      <w:start w:val="1"/>
      <w:numFmt w:val="decimal"/>
      <w:lvlText w:val="%8."/>
      <w:lvlJc w:val="left"/>
      <w:pPr>
        <w:tabs>
          <w:tab w:val="left" w:pos="5760"/>
        </w:tabs>
        <w:ind w:left="5760" w:hanging="360"/>
      </w:pPr>
    </w:lvl>
    <w:lvl w:ilvl="8" w:tentative="0">
      <w:start w:val="1"/>
      <w:numFmt w:val="decimal"/>
      <w:lvlText w:val="%9."/>
      <w:lvlJc w:val="left"/>
      <w:pPr>
        <w:tabs>
          <w:tab w:val="left" w:pos="6480"/>
        </w:tabs>
        <w:ind w:left="6480" w:hanging="360"/>
      </w:pPr>
    </w:lvl>
  </w:abstractNum>
  <w:abstractNum w:abstractNumId="12">
    <w:nsid w:val="0000000B"/>
    <w:multiLevelType w:val="multilevel"/>
    <w:tmpl w:val="0000000B"/>
    <w:lvl w:ilvl="0" w:tentative="0">
      <w:start w:val="1"/>
      <w:numFmt w:val="none"/>
      <w:lvlText w:val=""/>
      <w:lvlJc w:val="left"/>
      <w:pPr>
        <w:tabs>
          <w:tab w:val="left" w:pos="425"/>
        </w:tabs>
        <w:ind w:left="425" w:hanging="425"/>
      </w:pPr>
      <w:rPr>
        <w:rFonts w:hint="eastAsia"/>
      </w:rPr>
    </w:lvl>
    <w:lvl w:ilvl="1" w:tentative="0">
      <w:start w:val="1"/>
      <w:numFmt w:val="decimal"/>
      <w:lvlText w:val="%15.%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3">
    <w:nsid w:val="0000000C"/>
    <w:multiLevelType w:val="multilevel"/>
    <w:tmpl w:val="0000000C"/>
    <w:lvl w:ilvl="0" w:tentative="0">
      <w:start w:val="1"/>
      <w:numFmt w:val="none"/>
      <w:lvlText w:val=""/>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4">
    <w:nsid w:val="0000000D"/>
    <w:multiLevelType w:val="multilevel"/>
    <w:tmpl w:val="0000000D"/>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5">
    <w:nsid w:val="0000000F"/>
    <w:multiLevelType w:val="multilevel"/>
    <w:tmpl w:val="0000000F"/>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16">
    <w:nsid w:val="00000015"/>
    <w:multiLevelType w:val="multilevel"/>
    <w:tmpl w:val="00000015"/>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7">
    <w:nsid w:val="00000016"/>
    <w:multiLevelType w:val="multilevel"/>
    <w:tmpl w:val="00000016"/>
    <w:lvl w:ilvl="0" w:tentative="0">
      <w:start w:val="1"/>
      <w:numFmt w:val="none"/>
      <w:lvlText w:val=""/>
      <w:lvlJc w:val="left"/>
      <w:pPr>
        <w:tabs>
          <w:tab w:val="left" w:pos="425"/>
        </w:tabs>
        <w:ind w:left="425" w:hanging="425"/>
      </w:pPr>
      <w:rPr>
        <w:rFonts w:hint="eastAsia"/>
      </w:rPr>
    </w:lvl>
    <w:lvl w:ilvl="1" w:tentative="0">
      <w:start w:val="1"/>
      <w:numFmt w:val="decimal"/>
      <w:lvlText w:val="%13.%2"/>
      <w:lvlJc w:val="left"/>
      <w:pPr>
        <w:tabs>
          <w:tab w:val="left" w:pos="1277"/>
        </w:tabs>
        <w:ind w:left="1277" w:hanging="567"/>
      </w:pPr>
      <w:rPr>
        <w:rFonts w:hint="eastAsia" w:ascii="楷体_GB2312" w:hAnsi="Arial" w:eastAsia="楷体_GB2312" w:cs="Arial"/>
        <w:b w:val="0"/>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8">
    <w:nsid w:val="00000017"/>
    <w:multiLevelType w:val="multilevel"/>
    <w:tmpl w:val="00000017"/>
    <w:lvl w:ilvl="0" w:tentative="0">
      <w:start w:val="1"/>
      <w:numFmt w:val="none"/>
      <w:lvlText w:val=""/>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19">
    <w:nsid w:val="00000018"/>
    <w:multiLevelType w:val="multilevel"/>
    <w:tmpl w:val="00000018"/>
    <w:lvl w:ilvl="0" w:tentative="0">
      <w:start w:val="1"/>
      <w:numFmt w:val="decimal"/>
      <w:lvlText w:val="%1)"/>
      <w:lvlJc w:val="left"/>
      <w:pPr>
        <w:tabs>
          <w:tab w:val="left" w:pos="530"/>
        </w:tabs>
        <w:ind w:left="530" w:hanging="420"/>
      </w:pPr>
      <w:rPr>
        <w:b w:val="0"/>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0">
    <w:nsid w:val="00000019"/>
    <w:multiLevelType w:val="multilevel"/>
    <w:tmpl w:val="00000019"/>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1">
    <w:nsid w:val="0000001A"/>
    <w:multiLevelType w:val="multilevel"/>
    <w:tmpl w:val="0000001A"/>
    <w:lvl w:ilvl="0" w:tentative="0">
      <w:start w:val="1"/>
      <w:numFmt w:val="none"/>
      <w:lvlText w:val=""/>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2">
    <w:nsid w:val="0000001D"/>
    <w:multiLevelType w:val="multilevel"/>
    <w:tmpl w:val="0000001D"/>
    <w:lvl w:ilvl="0" w:tentative="0">
      <w:start w:val="1"/>
      <w:numFmt w:val="none"/>
      <w:lvlText w:val=""/>
      <w:lvlJc w:val="left"/>
      <w:pPr>
        <w:tabs>
          <w:tab w:val="left" w:pos="425"/>
        </w:tabs>
        <w:ind w:left="425" w:hanging="425"/>
      </w:pPr>
      <w:rPr>
        <w:rFonts w:hint="eastAsia"/>
      </w:rPr>
    </w:lvl>
    <w:lvl w:ilvl="1" w:tentative="0">
      <w:start w:val="1"/>
      <w:numFmt w:val="decimal"/>
      <w:lvlText w:val="%16.%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3">
    <w:nsid w:val="0000001F"/>
    <w:multiLevelType w:val="multilevel"/>
    <w:tmpl w:val="0000001F"/>
    <w:lvl w:ilvl="0" w:tentative="0">
      <w:start w:val="1"/>
      <w:numFmt w:val="decimal"/>
      <w:lvlText w:val="%1."/>
      <w:lvlJc w:val="left"/>
      <w:pPr>
        <w:tabs>
          <w:tab w:val="left" w:pos="420"/>
        </w:tabs>
        <w:ind w:left="420" w:hanging="420"/>
      </w:pPr>
      <w:rPr>
        <w:rFonts w:hint="eastAsia" w:ascii="楷体_GB2312" w:hAnsi="Arial" w:eastAsia="楷体_GB2312" w:cs="Arial"/>
        <w:b w:val="0"/>
      </w:rPr>
    </w:lvl>
    <w:lvl w:ilvl="1" w:tentative="0">
      <w:start w:val="0"/>
      <w:numFmt w:val="none"/>
      <w:lvlText w:val=""/>
      <w:lvlJc w:val="left"/>
      <w:pPr>
        <w:tabs>
          <w:tab w:val="left" w:pos="360"/>
        </w:tabs>
      </w:pPr>
    </w:lvl>
    <w:lvl w:ilvl="2" w:tentative="0">
      <w:start w:val="0"/>
      <w:numFmt w:val="none"/>
      <w:lvlText w:val=""/>
      <w:lvlJc w:val="left"/>
      <w:pPr>
        <w:tabs>
          <w:tab w:val="left" w:pos="360"/>
        </w:tabs>
      </w:pPr>
    </w:lvl>
    <w:lvl w:ilvl="3" w:tentative="0">
      <w:start w:val="0"/>
      <w:numFmt w:val="none"/>
      <w:lvlText w:val=""/>
      <w:lvlJc w:val="left"/>
      <w:pPr>
        <w:tabs>
          <w:tab w:val="left" w:pos="360"/>
        </w:tabs>
      </w:pPr>
    </w:lvl>
    <w:lvl w:ilvl="4" w:tentative="0">
      <w:start w:val="0"/>
      <w:numFmt w:val="none"/>
      <w:lvlText w:val=""/>
      <w:lvlJc w:val="left"/>
      <w:pPr>
        <w:tabs>
          <w:tab w:val="left" w:pos="360"/>
        </w:tabs>
      </w:pPr>
    </w:lvl>
    <w:lvl w:ilvl="5" w:tentative="0">
      <w:start w:val="0"/>
      <w:numFmt w:val="none"/>
      <w:lvlText w:val=""/>
      <w:lvlJc w:val="left"/>
      <w:pPr>
        <w:tabs>
          <w:tab w:val="left" w:pos="360"/>
        </w:tabs>
      </w:pPr>
    </w:lvl>
    <w:lvl w:ilvl="6" w:tentative="0">
      <w:start w:val="0"/>
      <w:numFmt w:val="none"/>
      <w:lvlText w:val=""/>
      <w:lvlJc w:val="left"/>
      <w:pPr>
        <w:tabs>
          <w:tab w:val="left" w:pos="360"/>
        </w:tabs>
      </w:pPr>
    </w:lvl>
    <w:lvl w:ilvl="7" w:tentative="0">
      <w:start w:val="0"/>
      <w:numFmt w:val="none"/>
      <w:lvlText w:val=""/>
      <w:lvlJc w:val="left"/>
      <w:pPr>
        <w:tabs>
          <w:tab w:val="left" w:pos="360"/>
        </w:tabs>
      </w:pPr>
    </w:lvl>
    <w:lvl w:ilvl="8" w:tentative="0">
      <w:start w:val="0"/>
      <w:numFmt w:val="none"/>
      <w:lvlText w:val=""/>
      <w:lvlJc w:val="left"/>
      <w:pPr>
        <w:tabs>
          <w:tab w:val="left" w:pos="360"/>
        </w:tabs>
      </w:pPr>
    </w:lvl>
  </w:abstractNum>
  <w:abstractNum w:abstractNumId="24">
    <w:nsid w:val="00000022"/>
    <w:multiLevelType w:val="multilevel"/>
    <w:tmpl w:val="00000022"/>
    <w:lvl w:ilvl="0" w:tentative="0">
      <w:start w:val="1"/>
      <w:numFmt w:val="decimal"/>
      <w:lvlText w:val="（%1）"/>
      <w:lvlJc w:val="left"/>
      <w:pPr>
        <w:tabs>
          <w:tab w:val="left" w:pos="420"/>
        </w:tabs>
        <w:ind w:left="420" w:hanging="420"/>
      </w:pPr>
      <w:rPr>
        <w:rFonts w:hint="eastAsia"/>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5">
    <w:nsid w:val="00000024"/>
    <w:multiLevelType w:val="multilevel"/>
    <w:tmpl w:val="00000024"/>
    <w:lvl w:ilvl="0" w:tentative="0">
      <w:start w:val="1"/>
      <w:numFmt w:val="none"/>
      <w:lvlText w:val=""/>
      <w:lvlJc w:val="left"/>
      <w:pPr>
        <w:tabs>
          <w:tab w:val="left" w:pos="425"/>
        </w:tabs>
        <w:ind w:left="425" w:hanging="425"/>
      </w:pPr>
      <w:rPr>
        <w:rFonts w:hint="eastAsia"/>
      </w:rPr>
    </w:lvl>
    <w:lvl w:ilvl="1" w:tentative="0">
      <w:start w:val="1"/>
      <w:numFmt w:val="decimal"/>
      <w:lvlText w:val="%11.%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6">
    <w:nsid w:val="00000026"/>
    <w:multiLevelType w:val="multilevel"/>
    <w:tmpl w:val="00000026"/>
    <w:lvl w:ilvl="0" w:tentative="0">
      <w:start w:val="1"/>
      <w:numFmt w:val="decimal"/>
      <w:lvlText w:val="（%1）"/>
      <w:lvlJc w:val="left"/>
      <w:pPr>
        <w:tabs>
          <w:tab w:val="left" w:pos="420"/>
        </w:tabs>
        <w:ind w:left="420" w:hanging="420"/>
      </w:pPr>
      <w:rPr>
        <w:rFonts w:hint="eastAsia" w:ascii="楷体_GB2312" w:hAnsi="Arial" w:eastAsia="楷体_GB2312" w:cs="Arial"/>
      </w:rPr>
    </w:lvl>
    <w:lvl w:ilvl="1" w:tentative="0">
      <w:start w:val="1"/>
      <w:numFmt w:val="decimal"/>
      <w:lvlText w:val="（%2）"/>
      <w:lvlJc w:val="left"/>
      <w:pPr>
        <w:ind w:left="1140" w:hanging="7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27">
    <w:nsid w:val="00000027"/>
    <w:multiLevelType w:val="multilevel"/>
    <w:tmpl w:val="00000027"/>
    <w:lvl w:ilvl="0" w:tentative="0">
      <w:start w:val="1"/>
      <w:numFmt w:val="none"/>
      <w:lvlText w:val=""/>
      <w:lvlJc w:val="left"/>
      <w:pPr>
        <w:tabs>
          <w:tab w:val="left" w:pos="425"/>
        </w:tabs>
        <w:ind w:left="425" w:hanging="425"/>
      </w:pPr>
      <w:rPr>
        <w:rFonts w:hint="eastAsia"/>
      </w:rPr>
    </w:lvl>
    <w:lvl w:ilvl="1" w:tentative="0">
      <w:start w:val="1"/>
      <w:numFmt w:val="decimal"/>
      <w:lvlText w:val="%18.%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8">
    <w:nsid w:val="00000028"/>
    <w:multiLevelType w:val="multilevel"/>
    <w:tmpl w:val="00000028"/>
    <w:lvl w:ilvl="0" w:tentative="0">
      <w:start w:val="1"/>
      <w:numFmt w:val="none"/>
      <w:lvlText w:val=""/>
      <w:lvlJc w:val="left"/>
      <w:pPr>
        <w:tabs>
          <w:tab w:val="left" w:pos="425"/>
        </w:tabs>
        <w:ind w:left="425" w:hanging="425"/>
      </w:pPr>
      <w:rPr>
        <w:rFonts w:hint="eastAsia"/>
      </w:rPr>
    </w:lvl>
    <w:lvl w:ilvl="1" w:tentative="0">
      <w:start w:val="1"/>
      <w:numFmt w:val="decimal"/>
      <w:lvlText w:val="%13.%2"/>
      <w:lvlJc w:val="left"/>
      <w:pPr>
        <w:tabs>
          <w:tab w:val="left" w:pos="992"/>
        </w:tabs>
        <w:ind w:left="992" w:hanging="567"/>
      </w:pPr>
      <w:rPr>
        <w:rFonts w:hint="eastAsia"/>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29">
    <w:nsid w:val="0000002B"/>
    <w:multiLevelType w:val="multilevel"/>
    <w:tmpl w:val="0000002B"/>
    <w:lvl w:ilvl="0" w:tentative="0">
      <w:start w:val="1"/>
      <w:numFmt w:val="none"/>
      <w:lvlText w:val=""/>
      <w:lvlJc w:val="left"/>
      <w:pPr>
        <w:tabs>
          <w:tab w:val="left" w:pos="425"/>
        </w:tabs>
        <w:ind w:left="425" w:hanging="425"/>
      </w:pPr>
      <w:rPr>
        <w:rFonts w:hint="eastAsia"/>
      </w:rPr>
    </w:lvl>
    <w:lvl w:ilvl="1" w:tentative="0">
      <w:start w:val="1"/>
      <w:numFmt w:val="decimal"/>
      <w:lvlText w:val="%14.%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0">
    <w:nsid w:val="14F41327"/>
    <w:multiLevelType w:val="multilevel"/>
    <w:tmpl w:val="14F41327"/>
    <w:lvl w:ilvl="0" w:tentative="0">
      <w:start w:val="1"/>
      <w:numFmt w:val="decimal"/>
      <w:lvlText w:val="%1."/>
      <w:lvlJc w:val="left"/>
      <w:pPr>
        <w:tabs>
          <w:tab w:val="left" w:pos="420"/>
        </w:tabs>
        <w:ind w:left="420" w:hanging="420"/>
      </w:pPr>
      <w:rPr>
        <w:rFonts w:hint="eastAsia" w:ascii="宋体" w:hAnsi="宋体" w:eastAsia="宋体"/>
      </w:rPr>
    </w:lvl>
    <w:lvl w:ilvl="1" w:tentative="0">
      <w:start w:val="0"/>
      <w:numFmt w:val="none"/>
      <w:lvlText w:val="%2."/>
      <w:lvlJc w:val="left"/>
      <w:pPr>
        <w:tabs>
          <w:tab w:val="left" w:pos="1440"/>
        </w:tabs>
        <w:ind w:left="1440" w:hanging="360"/>
      </w:pPr>
    </w:lvl>
    <w:lvl w:ilvl="2" w:tentative="0">
      <w:start w:val="0"/>
      <w:numFmt w:val="none"/>
      <w:lvlText w:val="%3."/>
      <w:lvlJc w:val="left"/>
      <w:pPr>
        <w:tabs>
          <w:tab w:val="left" w:pos="2160"/>
        </w:tabs>
        <w:ind w:left="2160" w:hanging="360"/>
      </w:pPr>
    </w:lvl>
    <w:lvl w:ilvl="3" w:tentative="0">
      <w:start w:val="0"/>
      <w:numFmt w:val="none"/>
      <w:lvlText w:val="%4."/>
      <w:lvlJc w:val="left"/>
      <w:pPr>
        <w:tabs>
          <w:tab w:val="left" w:pos="2880"/>
        </w:tabs>
        <w:ind w:left="2880" w:hanging="360"/>
      </w:pPr>
    </w:lvl>
    <w:lvl w:ilvl="4" w:tentative="0">
      <w:start w:val="0"/>
      <w:numFmt w:val="none"/>
      <w:lvlText w:val="%5."/>
      <w:lvlJc w:val="left"/>
      <w:pPr>
        <w:tabs>
          <w:tab w:val="left" w:pos="3600"/>
        </w:tabs>
        <w:ind w:left="3600" w:hanging="360"/>
      </w:pPr>
    </w:lvl>
    <w:lvl w:ilvl="5" w:tentative="0">
      <w:start w:val="0"/>
      <w:numFmt w:val="none"/>
      <w:lvlText w:val="%6."/>
      <w:lvlJc w:val="left"/>
      <w:pPr>
        <w:tabs>
          <w:tab w:val="left" w:pos="4320"/>
        </w:tabs>
        <w:ind w:left="4320" w:hanging="360"/>
      </w:pPr>
    </w:lvl>
    <w:lvl w:ilvl="6" w:tentative="0">
      <w:start w:val="0"/>
      <w:numFmt w:val="none"/>
      <w:lvlText w:val="%7."/>
      <w:lvlJc w:val="left"/>
      <w:pPr>
        <w:tabs>
          <w:tab w:val="left" w:pos="5040"/>
        </w:tabs>
        <w:ind w:left="5040" w:hanging="360"/>
      </w:pPr>
    </w:lvl>
    <w:lvl w:ilvl="7" w:tentative="0">
      <w:start w:val="0"/>
      <w:numFmt w:val="none"/>
      <w:lvlText w:val="%8."/>
      <w:lvlJc w:val="left"/>
      <w:pPr>
        <w:tabs>
          <w:tab w:val="left" w:pos="5760"/>
        </w:tabs>
        <w:ind w:left="5760" w:hanging="360"/>
      </w:pPr>
    </w:lvl>
    <w:lvl w:ilvl="8" w:tentative="0">
      <w:start w:val="0"/>
      <w:numFmt w:val="none"/>
      <w:lvlText w:val="%9."/>
      <w:lvlJc w:val="left"/>
      <w:pPr>
        <w:tabs>
          <w:tab w:val="left" w:pos="6480"/>
        </w:tabs>
        <w:ind w:left="6480" w:hanging="360"/>
      </w:pPr>
    </w:lvl>
  </w:abstractNum>
  <w:abstractNum w:abstractNumId="31">
    <w:nsid w:val="270517A6"/>
    <w:multiLevelType w:val="multilevel"/>
    <w:tmpl w:val="270517A6"/>
    <w:lvl w:ilvl="0" w:tentative="0">
      <w:start w:val="1"/>
      <w:numFmt w:val="decimal"/>
      <w:lvlText w:val="%1)"/>
      <w:lvlJc w:val="left"/>
      <w:pPr>
        <w:tabs>
          <w:tab w:val="left" w:pos="425"/>
        </w:tabs>
        <w:ind w:left="425" w:hanging="425"/>
      </w:pPr>
      <w:rPr>
        <w:rFonts w:hint="eastAsia"/>
      </w:rPr>
    </w:lvl>
    <w:lvl w:ilvl="1" w:tentative="0">
      <w:start w:val="1"/>
      <w:numFmt w:val="decimal"/>
      <w:lvlText w:val="%17.%2"/>
      <w:lvlJc w:val="left"/>
      <w:pPr>
        <w:tabs>
          <w:tab w:val="left" w:pos="992"/>
        </w:tabs>
        <w:ind w:left="992" w:hanging="567"/>
      </w:pPr>
      <w:rPr>
        <w:rFonts w:hint="eastAsia" w:ascii="楷体_GB2312" w:hAnsi="Arial" w:eastAsia="楷体_GB2312" w:cs="Arial"/>
      </w:rPr>
    </w:lvl>
    <w:lvl w:ilvl="2" w:tentative="0">
      <w:start w:val="1"/>
      <w:numFmt w:val="decimal"/>
      <w:lvlText w:val="%1.%2.%3"/>
      <w:lvlJc w:val="left"/>
      <w:pPr>
        <w:tabs>
          <w:tab w:val="left" w:pos="1571"/>
        </w:tabs>
        <w:ind w:left="1418" w:hanging="567"/>
      </w:pPr>
      <w:rPr>
        <w:rFonts w:hint="eastAsia"/>
      </w:rPr>
    </w:lvl>
    <w:lvl w:ilvl="3" w:tentative="0">
      <w:start w:val="1"/>
      <w:numFmt w:val="decimal"/>
      <w:lvlText w:val="%1.%2.%3.%4"/>
      <w:lvlJc w:val="left"/>
      <w:pPr>
        <w:tabs>
          <w:tab w:val="left" w:pos="2356"/>
        </w:tabs>
        <w:ind w:left="1984" w:hanging="708"/>
      </w:pPr>
      <w:rPr>
        <w:rFonts w:hint="eastAsia"/>
      </w:rPr>
    </w:lvl>
    <w:lvl w:ilvl="4" w:tentative="0">
      <w:start w:val="1"/>
      <w:numFmt w:val="decimal"/>
      <w:lvlText w:val="%1.%2.%3.%4.%5"/>
      <w:lvlJc w:val="left"/>
      <w:pPr>
        <w:tabs>
          <w:tab w:val="left" w:pos="2781"/>
        </w:tabs>
        <w:ind w:left="2551" w:hanging="850"/>
      </w:pPr>
      <w:rPr>
        <w:rFonts w:hint="eastAsia"/>
      </w:rPr>
    </w:lvl>
    <w:lvl w:ilvl="5" w:tentative="0">
      <w:start w:val="1"/>
      <w:numFmt w:val="decimal"/>
      <w:lvlText w:val="%1.%2.%3.%4.%5.%6"/>
      <w:lvlJc w:val="left"/>
      <w:pPr>
        <w:tabs>
          <w:tab w:val="left" w:pos="3566"/>
        </w:tabs>
        <w:ind w:left="3260" w:hanging="1134"/>
      </w:pPr>
      <w:rPr>
        <w:rFonts w:hint="eastAsia"/>
      </w:rPr>
    </w:lvl>
    <w:lvl w:ilvl="6" w:tentative="0">
      <w:start w:val="1"/>
      <w:numFmt w:val="decimal"/>
      <w:lvlText w:val="%1.%2.%3.%4.%5.%6.%7"/>
      <w:lvlJc w:val="left"/>
      <w:pPr>
        <w:tabs>
          <w:tab w:val="left" w:pos="4351"/>
        </w:tabs>
        <w:ind w:left="3827" w:hanging="1276"/>
      </w:pPr>
      <w:rPr>
        <w:rFonts w:hint="eastAsia"/>
      </w:rPr>
    </w:lvl>
    <w:lvl w:ilvl="7" w:tentative="0">
      <w:start w:val="1"/>
      <w:numFmt w:val="decimal"/>
      <w:lvlText w:val="%1.%2.%3.%4.%5.%6.%7.%8"/>
      <w:lvlJc w:val="left"/>
      <w:pPr>
        <w:tabs>
          <w:tab w:val="left" w:pos="4776"/>
        </w:tabs>
        <w:ind w:left="4394" w:hanging="1418"/>
      </w:pPr>
      <w:rPr>
        <w:rFonts w:hint="eastAsia"/>
      </w:rPr>
    </w:lvl>
    <w:lvl w:ilvl="8" w:tentative="0">
      <w:start w:val="1"/>
      <w:numFmt w:val="decimal"/>
      <w:lvlText w:val="%1.%2.%3.%4.%5.%6.%7.%8.%9"/>
      <w:lvlJc w:val="left"/>
      <w:pPr>
        <w:tabs>
          <w:tab w:val="left" w:pos="5562"/>
        </w:tabs>
        <w:ind w:left="5102" w:hanging="1700"/>
      </w:pPr>
      <w:rPr>
        <w:rFonts w:hint="eastAsia"/>
      </w:rPr>
    </w:lvl>
  </w:abstractNum>
  <w:abstractNum w:abstractNumId="32">
    <w:nsid w:val="2A4789ED"/>
    <w:multiLevelType w:val="singleLevel"/>
    <w:tmpl w:val="2A4789ED"/>
    <w:lvl w:ilvl="0" w:tentative="0">
      <w:start w:val="1"/>
      <w:numFmt w:val="chineseCounting"/>
      <w:suff w:val="nothing"/>
      <w:lvlText w:val="%1、"/>
      <w:lvlJc w:val="left"/>
      <w:pPr>
        <w:ind w:left="0" w:firstLine="420"/>
      </w:pPr>
      <w:rPr>
        <w:rFonts w:hint="eastAsia"/>
      </w:rPr>
    </w:lvl>
  </w:abstractNum>
  <w:abstractNum w:abstractNumId="33">
    <w:nsid w:val="378357F1"/>
    <w:multiLevelType w:val="multilevel"/>
    <w:tmpl w:val="378357F1"/>
    <w:lvl w:ilvl="0" w:tentative="0">
      <w:start w:val="1"/>
      <w:numFmt w:val="bullet"/>
      <w:lvlText w:val=""/>
      <w:lvlJc w:val="left"/>
      <w:pPr>
        <w:ind w:left="860" w:hanging="420"/>
      </w:pPr>
      <w:rPr>
        <w:rFonts w:hint="default" w:ascii="Wingdings" w:hAnsi="Wingdings"/>
      </w:rPr>
    </w:lvl>
    <w:lvl w:ilvl="1" w:tentative="0">
      <w:start w:val="1"/>
      <w:numFmt w:val="bullet"/>
      <w:lvlText w:val=""/>
      <w:lvlJc w:val="left"/>
      <w:pPr>
        <w:ind w:left="1280" w:hanging="420"/>
      </w:pPr>
      <w:rPr>
        <w:rFonts w:hint="default" w:ascii="Wingdings" w:hAnsi="Wingdings"/>
      </w:rPr>
    </w:lvl>
    <w:lvl w:ilvl="2" w:tentative="0">
      <w:start w:val="1"/>
      <w:numFmt w:val="bullet"/>
      <w:lvlText w:val=""/>
      <w:lvlJc w:val="left"/>
      <w:pPr>
        <w:ind w:left="1700" w:hanging="420"/>
      </w:pPr>
      <w:rPr>
        <w:rFonts w:hint="default" w:ascii="Wingdings" w:hAnsi="Wingdings"/>
      </w:rPr>
    </w:lvl>
    <w:lvl w:ilvl="3" w:tentative="0">
      <w:start w:val="1"/>
      <w:numFmt w:val="bullet"/>
      <w:lvlText w:val=""/>
      <w:lvlJc w:val="left"/>
      <w:pPr>
        <w:ind w:left="2120" w:hanging="420"/>
      </w:pPr>
      <w:rPr>
        <w:rFonts w:hint="default" w:ascii="Wingdings" w:hAnsi="Wingdings"/>
      </w:rPr>
    </w:lvl>
    <w:lvl w:ilvl="4" w:tentative="0">
      <w:start w:val="1"/>
      <w:numFmt w:val="bullet"/>
      <w:lvlText w:val=""/>
      <w:lvlJc w:val="left"/>
      <w:pPr>
        <w:ind w:left="2540" w:hanging="420"/>
      </w:pPr>
      <w:rPr>
        <w:rFonts w:hint="default" w:ascii="Wingdings" w:hAnsi="Wingdings"/>
      </w:rPr>
    </w:lvl>
    <w:lvl w:ilvl="5" w:tentative="0">
      <w:start w:val="1"/>
      <w:numFmt w:val="bullet"/>
      <w:lvlText w:val=""/>
      <w:lvlJc w:val="left"/>
      <w:pPr>
        <w:ind w:left="2960" w:hanging="420"/>
      </w:pPr>
      <w:rPr>
        <w:rFonts w:hint="default" w:ascii="Wingdings" w:hAnsi="Wingdings"/>
      </w:rPr>
    </w:lvl>
    <w:lvl w:ilvl="6" w:tentative="0">
      <w:start w:val="1"/>
      <w:numFmt w:val="bullet"/>
      <w:lvlText w:val=""/>
      <w:lvlJc w:val="left"/>
      <w:pPr>
        <w:ind w:left="3380" w:hanging="420"/>
      </w:pPr>
      <w:rPr>
        <w:rFonts w:hint="default" w:ascii="Wingdings" w:hAnsi="Wingdings"/>
      </w:rPr>
    </w:lvl>
    <w:lvl w:ilvl="7" w:tentative="0">
      <w:start w:val="1"/>
      <w:numFmt w:val="bullet"/>
      <w:lvlText w:val=""/>
      <w:lvlJc w:val="left"/>
      <w:pPr>
        <w:ind w:left="3800" w:hanging="420"/>
      </w:pPr>
      <w:rPr>
        <w:rFonts w:hint="default" w:ascii="Wingdings" w:hAnsi="Wingdings"/>
      </w:rPr>
    </w:lvl>
    <w:lvl w:ilvl="8" w:tentative="0">
      <w:start w:val="1"/>
      <w:numFmt w:val="bullet"/>
      <w:lvlText w:val=""/>
      <w:lvlJc w:val="left"/>
      <w:pPr>
        <w:ind w:left="4220" w:hanging="420"/>
      </w:pPr>
      <w:rPr>
        <w:rFonts w:hint="default" w:ascii="Wingdings" w:hAnsi="Wingdings"/>
      </w:rPr>
    </w:lvl>
  </w:abstractNum>
  <w:abstractNum w:abstractNumId="34">
    <w:nsid w:val="41546862"/>
    <w:multiLevelType w:val="multilevel"/>
    <w:tmpl w:val="41546862"/>
    <w:lvl w:ilvl="0" w:tentative="0">
      <w:start w:val="1"/>
      <w:numFmt w:val="decimal"/>
      <w:lvlText w:val="%1、"/>
      <w:lvlJc w:val="left"/>
      <w:pPr>
        <w:ind w:left="862" w:hanging="360"/>
      </w:pPr>
      <w:rPr>
        <w:rFonts w:hint="default"/>
      </w:rPr>
    </w:lvl>
    <w:lvl w:ilvl="1" w:tentative="0">
      <w:start w:val="1"/>
      <w:numFmt w:val="lowerLetter"/>
      <w:lvlText w:val="%2)"/>
      <w:lvlJc w:val="left"/>
      <w:pPr>
        <w:ind w:left="1342" w:hanging="420"/>
      </w:pPr>
    </w:lvl>
    <w:lvl w:ilvl="2" w:tentative="0">
      <w:start w:val="1"/>
      <w:numFmt w:val="lowerRoman"/>
      <w:lvlText w:val="%3."/>
      <w:lvlJc w:val="right"/>
      <w:pPr>
        <w:ind w:left="1762" w:hanging="420"/>
      </w:pPr>
    </w:lvl>
    <w:lvl w:ilvl="3" w:tentative="0">
      <w:start w:val="1"/>
      <w:numFmt w:val="decimal"/>
      <w:lvlText w:val="%4."/>
      <w:lvlJc w:val="left"/>
      <w:pPr>
        <w:ind w:left="2182" w:hanging="420"/>
      </w:pPr>
    </w:lvl>
    <w:lvl w:ilvl="4" w:tentative="0">
      <w:start w:val="1"/>
      <w:numFmt w:val="lowerLetter"/>
      <w:lvlText w:val="%5)"/>
      <w:lvlJc w:val="left"/>
      <w:pPr>
        <w:ind w:left="2602" w:hanging="420"/>
      </w:pPr>
    </w:lvl>
    <w:lvl w:ilvl="5" w:tentative="0">
      <w:start w:val="1"/>
      <w:numFmt w:val="lowerRoman"/>
      <w:lvlText w:val="%6."/>
      <w:lvlJc w:val="right"/>
      <w:pPr>
        <w:ind w:left="3022" w:hanging="420"/>
      </w:pPr>
    </w:lvl>
    <w:lvl w:ilvl="6" w:tentative="0">
      <w:start w:val="1"/>
      <w:numFmt w:val="decimal"/>
      <w:lvlText w:val="%7."/>
      <w:lvlJc w:val="left"/>
      <w:pPr>
        <w:ind w:left="3442" w:hanging="420"/>
      </w:pPr>
    </w:lvl>
    <w:lvl w:ilvl="7" w:tentative="0">
      <w:start w:val="1"/>
      <w:numFmt w:val="lowerLetter"/>
      <w:lvlText w:val="%8)"/>
      <w:lvlJc w:val="left"/>
      <w:pPr>
        <w:ind w:left="3862" w:hanging="420"/>
      </w:pPr>
    </w:lvl>
    <w:lvl w:ilvl="8" w:tentative="0">
      <w:start w:val="1"/>
      <w:numFmt w:val="lowerRoman"/>
      <w:lvlText w:val="%9."/>
      <w:lvlJc w:val="right"/>
      <w:pPr>
        <w:ind w:left="4282" w:hanging="420"/>
      </w:pPr>
    </w:lvl>
  </w:abstractNum>
  <w:abstractNum w:abstractNumId="35">
    <w:nsid w:val="45DC5E2A"/>
    <w:multiLevelType w:val="multilevel"/>
    <w:tmpl w:val="45DC5E2A"/>
    <w:lvl w:ilvl="0" w:tentative="0">
      <w:start w:val="1"/>
      <w:numFmt w:val="decimal"/>
      <w:lvlText w:val="%1."/>
      <w:lvlJc w:val="left"/>
      <w:pPr>
        <w:tabs>
          <w:tab w:val="left" w:pos="0"/>
        </w:tabs>
        <w:ind w:left="805" w:hanging="420"/>
      </w:pPr>
    </w:lvl>
    <w:lvl w:ilvl="1" w:tentative="0">
      <w:start w:val="1"/>
      <w:numFmt w:val="lowerLetter"/>
      <w:lvlText w:val="%2)"/>
      <w:lvlJc w:val="left"/>
      <w:pPr>
        <w:tabs>
          <w:tab w:val="left" w:pos="0"/>
        </w:tabs>
        <w:ind w:left="1225" w:hanging="420"/>
      </w:pPr>
    </w:lvl>
    <w:lvl w:ilvl="2" w:tentative="0">
      <w:start w:val="1"/>
      <w:numFmt w:val="lowerRoman"/>
      <w:lvlText w:val="%3."/>
      <w:lvlJc w:val="right"/>
      <w:pPr>
        <w:tabs>
          <w:tab w:val="left" w:pos="0"/>
        </w:tabs>
        <w:ind w:left="1645" w:hanging="420"/>
      </w:pPr>
    </w:lvl>
    <w:lvl w:ilvl="3" w:tentative="0">
      <w:start w:val="1"/>
      <w:numFmt w:val="decimal"/>
      <w:lvlText w:val="%4."/>
      <w:lvlJc w:val="left"/>
      <w:pPr>
        <w:tabs>
          <w:tab w:val="left" w:pos="0"/>
        </w:tabs>
        <w:ind w:left="2065" w:hanging="420"/>
      </w:pPr>
    </w:lvl>
    <w:lvl w:ilvl="4" w:tentative="0">
      <w:start w:val="1"/>
      <w:numFmt w:val="lowerLetter"/>
      <w:lvlText w:val="%5)"/>
      <w:lvlJc w:val="left"/>
      <w:pPr>
        <w:tabs>
          <w:tab w:val="left" w:pos="0"/>
        </w:tabs>
        <w:ind w:left="2485" w:hanging="420"/>
      </w:pPr>
    </w:lvl>
    <w:lvl w:ilvl="5" w:tentative="0">
      <w:start w:val="1"/>
      <w:numFmt w:val="lowerRoman"/>
      <w:lvlText w:val="%6."/>
      <w:lvlJc w:val="right"/>
      <w:pPr>
        <w:tabs>
          <w:tab w:val="left" w:pos="0"/>
        </w:tabs>
        <w:ind w:left="2905" w:hanging="420"/>
      </w:pPr>
    </w:lvl>
    <w:lvl w:ilvl="6" w:tentative="0">
      <w:start w:val="1"/>
      <w:numFmt w:val="decimal"/>
      <w:lvlText w:val="%7."/>
      <w:lvlJc w:val="left"/>
      <w:pPr>
        <w:tabs>
          <w:tab w:val="left" w:pos="0"/>
        </w:tabs>
        <w:ind w:left="3325" w:hanging="420"/>
      </w:pPr>
    </w:lvl>
    <w:lvl w:ilvl="7" w:tentative="0">
      <w:start w:val="1"/>
      <w:numFmt w:val="lowerLetter"/>
      <w:lvlText w:val="%8)"/>
      <w:lvlJc w:val="left"/>
      <w:pPr>
        <w:tabs>
          <w:tab w:val="left" w:pos="0"/>
        </w:tabs>
        <w:ind w:left="3745" w:hanging="420"/>
      </w:pPr>
    </w:lvl>
    <w:lvl w:ilvl="8" w:tentative="0">
      <w:start w:val="1"/>
      <w:numFmt w:val="lowerRoman"/>
      <w:lvlText w:val="%9."/>
      <w:lvlJc w:val="right"/>
      <w:pPr>
        <w:tabs>
          <w:tab w:val="left" w:pos="0"/>
        </w:tabs>
        <w:ind w:left="4165" w:hanging="420"/>
      </w:pPr>
    </w:lvl>
  </w:abstractNum>
  <w:abstractNum w:abstractNumId="36">
    <w:nsid w:val="47E2D198"/>
    <w:multiLevelType w:val="singleLevel"/>
    <w:tmpl w:val="47E2D198"/>
    <w:lvl w:ilvl="0" w:tentative="0">
      <w:start w:val="1"/>
      <w:numFmt w:val="decimal"/>
      <w:lvlText w:val="%1)"/>
      <w:lvlJc w:val="left"/>
      <w:pPr>
        <w:ind w:left="425" w:hanging="425"/>
      </w:pPr>
      <w:rPr>
        <w:rFonts w:hint="default"/>
      </w:rPr>
    </w:lvl>
  </w:abstractNum>
  <w:abstractNum w:abstractNumId="37">
    <w:nsid w:val="54F403B5"/>
    <w:multiLevelType w:val="singleLevel"/>
    <w:tmpl w:val="54F403B5"/>
    <w:lvl w:ilvl="0" w:tentative="0">
      <w:start w:val="1"/>
      <w:numFmt w:val="chineseCounting"/>
      <w:suff w:val="nothing"/>
      <w:lvlText w:val="%1、"/>
      <w:lvlJc w:val="left"/>
      <w:pPr>
        <w:ind w:left="0" w:firstLine="0"/>
      </w:pPr>
    </w:lvl>
  </w:abstractNum>
  <w:abstractNum w:abstractNumId="38">
    <w:nsid w:val="557FD3DA"/>
    <w:multiLevelType w:val="singleLevel"/>
    <w:tmpl w:val="557FD3DA"/>
    <w:lvl w:ilvl="0" w:tentative="0">
      <w:start w:val="3"/>
      <w:numFmt w:val="chineseCounting"/>
      <w:suff w:val="nothing"/>
      <w:lvlText w:val="%1、"/>
      <w:lvlJc w:val="left"/>
      <w:pPr>
        <w:ind w:left="0" w:firstLine="0"/>
      </w:pPr>
    </w:lvl>
  </w:abstractNum>
  <w:abstractNum w:abstractNumId="39">
    <w:nsid w:val="559B54B9"/>
    <w:multiLevelType w:val="singleLevel"/>
    <w:tmpl w:val="559B54B9"/>
    <w:lvl w:ilvl="0" w:tentative="0">
      <w:start w:val="2"/>
      <w:numFmt w:val="decimal"/>
      <w:suff w:val="nothing"/>
      <w:lvlText w:val="%1、"/>
      <w:lvlJc w:val="left"/>
    </w:lvl>
  </w:abstractNum>
  <w:num w:numId="1">
    <w:abstractNumId w:val="11"/>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4"/>
  </w:num>
  <w:num w:numId="3">
    <w:abstractNumId w:val="31"/>
  </w:num>
  <w:num w:numId="4">
    <w:abstractNumId w:val="32"/>
  </w:num>
  <w:num w:numId="5">
    <w:abstractNumId w:val="2"/>
  </w:num>
  <w:num w:numId="6">
    <w:abstractNumId w:val="15"/>
  </w:num>
  <w:num w:numId="7">
    <w:abstractNumId w:val="14"/>
  </w:num>
  <w:num w:numId="8">
    <w:abstractNumId w:val="21"/>
  </w:num>
  <w:num w:numId="9">
    <w:abstractNumId w:val="10"/>
  </w:num>
  <w:num w:numId="10">
    <w:abstractNumId w:val="28"/>
  </w:num>
  <w:num w:numId="11">
    <w:abstractNumId w:val="5"/>
  </w:num>
  <w:num w:numId="12">
    <w:abstractNumId w:val="19"/>
  </w:num>
  <w:num w:numId="13">
    <w:abstractNumId w:val="12"/>
  </w:num>
  <w:num w:numId="14">
    <w:abstractNumId w:val="24"/>
  </w:num>
  <w:num w:numId="15">
    <w:abstractNumId w:val="22"/>
  </w:num>
  <w:num w:numId="16">
    <w:abstractNumId w:val="13"/>
  </w:num>
  <w:num w:numId="17">
    <w:abstractNumId w:val="27"/>
  </w:num>
  <w:num w:numId="18">
    <w:abstractNumId w:val="20"/>
  </w:num>
  <w:num w:numId="19">
    <w:abstractNumId w:val="25"/>
  </w:num>
  <w:num w:numId="20">
    <w:abstractNumId w:val="7"/>
  </w:num>
  <w:num w:numId="21">
    <w:abstractNumId w:val="18"/>
  </w:num>
  <w:num w:numId="22">
    <w:abstractNumId w:val="23"/>
  </w:num>
  <w:num w:numId="23">
    <w:abstractNumId w:val="17"/>
  </w:num>
  <w:num w:numId="24">
    <w:abstractNumId w:val="16"/>
  </w:num>
  <w:num w:numId="25">
    <w:abstractNumId w:val="26"/>
  </w:num>
  <w:num w:numId="26">
    <w:abstractNumId w:val="4"/>
  </w:num>
  <w:num w:numId="27">
    <w:abstractNumId w:val="29"/>
  </w:num>
  <w:num w:numId="28">
    <w:abstractNumId w:val="9"/>
  </w:num>
  <w:num w:numId="29">
    <w:abstractNumId w:val="8"/>
  </w:num>
  <w:num w:numId="30">
    <w:abstractNumId w:val="6"/>
  </w:num>
  <w:num w:numId="31">
    <w:abstractNumId w:val="1"/>
  </w:num>
  <w:num w:numId="32">
    <w:abstractNumId w:val="30"/>
    <w:lvlOverride w:ilvl="0">
      <w:startOverride w:val="1"/>
    </w:lvlOverride>
  </w:num>
  <w:num w:numId="33">
    <w:abstractNumId w:val="36"/>
  </w:num>
  <w:num w:numId="34">
    <w:abstractNumId w:val="0"/>
  </w:num>
  <w:num w:numId="35">
    <w:abstractNumId w:val="3"/>
  </w:num>
  <w:num w:numId="36">
    <w:abstractNumId w:val="35"/>
  </w:num>
  <w:num w:numId="37">
    <w:abstractNumId w:val="33"/>
  </w:num>
  <w:num w:numId="38">
    <w:abstractNumId w:val="39"/>
  </w:num>
  <w:num w:numId="39">
    <w:abstractNumId w:val="37"/>
  </w:num>
  <w:num w:numId="4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1"/>
  <w:displayVerticalDrawingGridEvery w:val="1"/>
  <w:doNotShadeFormData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TQyNTk3NDM2YzM1ZGFmMTU0ZjY5MGJiMGRhYmRhYmMifQ=="/>
  </w:docVars>
  <w:rsids>
    <w:rsidRoot w:val="00172A27"/>
    <w:rsid w:val="000009F5"/>
    <w:rsid w:val="00001380"/>
    <w:rsid w:val="00002CB1"/>
    <w:rsid w:val="0000340D"/>
    <w:rsid w:val="00003A66"/>
    <w:rsid w:val="00005043"/>
    <w:rsid w:val="000053C0"/>
    <w:rsid w:val="00005E2A"/>
    <w:rsid w:val="000066EF"/>
    <w:rsid w:val="00006E3C"/>
    <w:rsid w:val="00010F67"/>
    <w:rsid w:val="00011067"/>
    <w:rsid w:val="0001120F"/>
    <w:rsid w:val="0001322E"/>
    <w:rsid w:val="00014C8E"/>
    <w:rsid w:val="00015251"/>
    <w:rsid w:val="000157E0"/>
    <w:rsid w:val="00016969"/>
    <w:rsid w:val="00017CFF"/>
    <w:rsid w:val="000237A7"/>
    <w:rsid w:val="000238E0"/>
    <w:rsid w:val="00023A93"/>
    <w:rsid w:val="00024929"/>
    <w:rsid w:val="00025CDD"/>
    <w:rsid w:val="00026538"/>
    <w:rsid w:val="00026C3B"/>
    <w:rsid w:val="00030937"/>
    <w:rsid w:val="000345EB"/>
    <w:rsid w:val="00034BF8"/>
    <w:rsid w:val="00035490"/>
    <w:rsid w:val="00035750"/>
    <w:rsid w:val="00035BA0"/>
    <w:rsid w:val="00035BB6"/>
    <w:rsid w:val="00035CCB"/>
    <w:rsid w:val="00035E87"/>
    <w:rsid w:val="00035F6F"/>
    <w:rsid w:val="00040402"/>
    <w:rsid w:val="00041329"/>
    <w:rsid w:val="00042E2F"/>
    <w:rsid w:val="0005052D"/>
    <w:rsid w:val="000506B4"/>
    <w:rsid w:val="00051166"/>
    <w:rsid w:val="000515F3"/>
    <w:rsid w:val="00052EC4"/>
    <w:rsid w:val="00053B42"/>
    <w:rsid w:val="000548DE"/>
    <w:rsid w:val="00054D5C"/>
    <w:rsid w:val="00054FC6"/>
    <w:rsid w:val="000560AE"/>
    <w:rsid w:val="00060505"/>
    <w:rsid w:val="000611E3"/>
    <w:rsid w:val="000622C1"/>
    <w:rsid w:val="0006286C"/>
    <w:rsid w:val="0006334B"/>
    <w:rsid w:val="00063E50"/>
    <w:rsid w:val="0006448F"/>
    <w:rsid w:val="00066DA0"/>
    <w:rsid w:val="000722C5"/>
    <w:rsid w:val="00072310"/>
    <w:rsid w:val="0007247B"/>
    <w:rsid w:val="00073304"/>
    <w:rsid w:val="00074B78"/>
    <w:rsid w:val="0008019F"/>
    <w:rsid w:val="000803DE"/>
    <w:rsid w:val="00081E28"/>
    <w:rsid w:val="0008207A"/>
    <w:rsid w:val="00082463"/>
    <w:rsid w:val="000832C8"/>
    <w:rsid w:val="000853D3"/>
    <w:rsid w:val="000861D1"/>
    <w:rsid w:val="00087F08"/>
    <w:rsid w:val="000930EA"/>
    <w:rsid w:val="00094254"/>
    <w:rsid w:val="0009425F"/>
    <w:rsid w:val="00095314"/>
    <w:rsid w:val="000968BD"/>
    <w:rsid w:val="00096ABD"/>
    <w:rsid w:val="000A1983"/>
    <w:rsid w:val="000A20B7"/>
    <w:rsid w:val="000A328D"/>
    <w:rsid w:val="000A4DF8"/>
    <w:rsid w:val="000A5466"/>
    <w:rsid w:val="000A5ADF"/>
    <w:rsid w:val="000A63F5"/>
    <w:rsid w:val="000A7715"/>
    <w:rsid w:val="000A7842"/>
    <w:rsid w:val="000B09D6"/>
    <w:rsid w:val="000B1182"/>
    <w:rsid w:val="000B1199"/>
    <w:rsid w:val="000B329E"/>
    <w:rsid w:val="000B36A7"/>
    <w:rsid w:val="000B3735"/>
    <w:rsid w:val="000B5341"/>
    <w:rsid w:val="000B5A18"/>
    <w:rsid w:val="000B5DD6"/>
    <w:rsid w:val="000B5FCA"/>
    <w:rsid w:val="000B6DFD"/>
    <w:rsid w:val="000C362B"/>
    <w:rsid w:val="000C6761"/>
    <w:rsid w:val="000C6EB6"/>
    <w:rsid w:val="000C7809"/>
    <w:rsid w:val="000C7CBF"/>
    <w:rsid w:val="000D0E22"/>
    <w:rsid w:val="000D4A4C"/>
    <w:rsid w:val="000D73D9"/>
    <w:rsid w:val="000E10DB"/>
    <w:rsid w:val="000E2A62"/>
    <w:rsid w:val="000E3530"/>
    <w:rsid w:val="000E39D6"/>
    <w:rsid w:val="000E6B70"/>
    <w:rsid w:val="000E75FB"/>
    <w:rsid w:val="000F0294"/>
    <w:rsid w:val="000F1FBE"/>
    <w:rsid w:val="000F2728"/>
    <w:rsid w:val="000F3619"/>
    <w:rsid w:val="000F6410"/>
    <w:rsid w:val="000F79A4"/>
    <w:rsid w:val="000F7AE5"/>
    <w:rsid w:val="000F7C73"/>
    <w:rsid w:val="00101644"/>
    <w:rsid w:val="00101AC0"/>
    <w:rsid w:val="001020F4"/>
    <w:rsid w:val="001030C6"/>
    <w:rsid w:val="00103AD8"/>
    <w:rsid w:val="0010568D"/>
    <w:rsid w:val="001064A6"/>
    <w:rsid w:val="0010684A"/>
    <w:rsid w:val="00112030"/>
    <w:rsid w:val="0011478A"/>
    <w:rsid w:val="001156FE"/>
    <w:rsid w:val="00115E23"/>
    <w:rsid w:val="00123BAD"/>
    <w:rsid w:val="00123E7C"/>
    <w:rsid w:val="001263CA"/>
    <w:rsid w:val="001265A0"/>
    <w:rsid w:val="001266BF"/>
    <w:rsid w:val="00127F4D"/>
    <w:rsid w:val="00130AF0"/>
    <w:rsid w:val="00131E83"/>
    <w:rsid w:val="0013221F"/>
    <w:rsid w:val="001325EF"/>
    <w:rsid w:val="00132C17"/>
    <w:rsid w:val="00133211"/>
    <w:rsid w:val="00134351"/>
    <w:rsid w:val="001367AF"/>
    <w:rsid w:val="0013760C"/>
    <w:rsid w:val="00137753"/>
    <w:rsid w:val="001377FC"/>
    <w:rsid w:val="00137F40"/>
    <w:rsid w:val="00140223"/>
    <w:rsid w:val="00143117"/>
    <w:rsid w:val="00143A6A"/>
    <w:rsid w:val="0014546D"/>
    <w:rsid w:val="00146114"/>
    <w:rsid w:val="0014791A"/>
    <w:rsid w:val="00150AA7"/>
    <w:rsid w:val="00152443"/>
    <w:rsid w:val="001528EB"/>
    <w:rsid w:val="00155310"/>
    <w:rsid w:val="00156F66"/>
    <w:rsid w:val="001601F3"/>
    <w:rsid w:val="0016030B"/>
    <w:rsid w:val="00161AF3"/>
    <w:rsid w:val="00161CFC"/>
    <w:rsid w:val="00161EA2"/>
    <w:rsid w:val="00162A58"/>
    <w:rsid w:val="00162E8F"/>
    <w:rsid w:val="001632E9"/>
    <w:rsid w:val="00163C20"/>
    <w:rsid w:val="001671DC"/>
    <w:rsid w:val="0016795B"/>
    <w:rsid w:val="0017045C"/>
    <w:rsid w:val="0017187B"/>
    <w:rsid w:val="00172A27"/>
    <w:rsid w:val="0017498A"/>
    <w:rsid w:val="00174EB3"/>
    <w:rsid w:val="00175520"/>
    <w:rsid w:val="00180634"/>
    <w:rsid w:val="001831C1"/>
    <w:rsid w:val="00183F0E"/>
    <w:rsid w:val="00184846"/>
    <w:rsid w:val="00186674"/>
    <w:rsid w:val="001866ED"/>
    <w:rsid w:val="00186E54"/>
    <w:rsid w:val="00187CAD"/>
    <w:rsid w:val="00191D9B"/>
    <w:rsid w:val="00192E60"/>
    <w:rsid w:val="00193B17"/>
    <w:rsid w:val="0019491C"/>
    <w:rsid w:val="0019588E"/>
    <w:rsid w:val="00195B99"/>
    <w:rsid w:val="00195C4F"/>
    <w:rsid w:val="00196551"/>
    <w:rsid w:val="00197748"/>
    <w:rsid w:val="00197786"/>
    <w:rsid w:val="00197E7B"/>
    <w:rsid w:val="001A08CC"/>
    <w:rsid w:val="001A0B61"/>
    <w:rsid w:val="001A2495"/>
    <w:rsid w:val="001A30EE"/>
    <w:rsid w:val="001A370B"/>
    <w:rsid w:val="001A57CB"/>
    <w:rsid w:val="001A57FA"/>
    <w:rsid w:val="001A6C5A"/>
    <w:rsid w:val="001B1B9B"/>
    <w:rsid w:val="001B2696"/>
    <w:rsid w:val="001B28CB"/>
    <w:rsid w:val="001B335C"/>
    <w:rsid w:val="001B45D2"/>
    <w:rsid w:val="001B4606"/>
    <w:rsid w:val="001B5B34"/>
    <w:rsid w:val="001C0431"/>
    <w:rsid w:val="001C239E"/>
    <w:rsid w:val="001C2F81"/>
    <w:rsid w:val="001C5EFC"/>
    <w:rsid w:val="001C6F26"/>
    <w:rsid w:val="001D11DE"/>
    <w:rsid w:val="001D21A8"/>
    <w:rsid w:val="001D29FB"/>
    <w:rsid w:val="001D2CF5"/>
    <w:rsid w:val="001D3384"/>
    <w:rsid w:val="001D63C0"/>
    <w:rsid w:val="001D6B9A"/>
    <w:rsid w:val="001D711C"/>
    <w:rsid w:val="001D76AB"/>
    <w:rsid w:val="001E013B"/>
    <w:rsid w:val="001E0520"/>
    <w:rsid w:val="001E376F"/>
    <w:rsid w:val="001E726C"/>
    <w:rsid w:val="001E7C71"/>
    <w:rsid w:val="001F169F"/>
    <w:rsid w:val="001F24A5"/>
    <w:rsid w:val="001F362D"/>
    <w:rsid w:val="001F3B6E"/>
    <w:rsid w:val="001F430D"/>
    <w:rsid w:val="001F5985"/>
    <w:rsid w:val="001F69BE"/>
    <w:rsid w:val="00200121"/>
    <w:rsid w:val="00201E84"/>
    <w:rsid w:val="00201FC4"/>
    <w:rsid w:val="00205213"/>
    <w:rsid w:val="00210979"/>
    <w:rsid w:val="00211497"/>
    <w:rsid w:val="00212117"/>
    <w:rsid w:val="002136D4"/>
    <w:rsid w:val="00213866"/>
    <w:rsid w:val="00214475"/>
    <w:rsid w:val="002161A6"/>
    <w:rsid w:val="00216C1E"/>
    <w:rsid w:val="00216E04"/>
    <w:rsid w:val="00217E22"/>
    <w:rsid w:val="00220A8C"/>
    <w:rsid w:val="00220B37"/>
    <w:rsid w:val="00221867"/>
    <w:rsid w:val="00221D45"/>
    <w:rsid w:val="00221D63"/>
    <w:rsid w:val="002225DC"/>
    <w:rsid w:val="002241B4"/>
    <w:rsid w:val="00224B8F"/>
    <w:rsid w:val="00225F76"/>
    <w:rsid w:val="00226492"/>
    <w:rsid w:val="00227916"/>
    <w:rsid w:val="00231563"/>
    <w:rsid w:val="00231733"/>
    <w:rsid w:val="002352A0"/>
    <w:rsid w:val="002357FB"/>
    <w:rsid w:val="002358F4"/>
    <w:rsid w:val="002376C6"/>
    <w:rsid w:val="00240C65"/>
    <w:rsid w:val="00240D05"/>
    <w:rsid w:val="00241F03"/>
    <w:rsid w:val="00242271"/>
    <w:rsid w:val="00242A63"/>
    <w:rsid w:val="00242B3E"/>
    <w:rsid w:val="00243AC5"/>
    <w:rsid w:val="00243B0E"/>
    <w:rsid w:val="00244F16"/>
    <w:rsid w:val="002461EE"/>
    <w:rsid w:val="00246422"/>
    <w:rsid w:val="0024766D"/>
    <w:rsid w:val="0024772A"/>
    <w:rsid w:val="00250036"/>
    <w:rsid w:val="00251A22"/>
    <w:rsid w:val="0025244C"/>
    <w:rsid w:val="00254330"/>
    <w:rsid w:val="00254A99"/>
    <w:rsid w:val="00256997"/>
    <w:rsid w:val="00256D8D"/>
    <w:rsid w:val="00260378"/>
    <w:rsid w:val="00262E17"/>
    <w:rsid w:val="00263C46"/>
    <w:rsid w:val="002652D9"/>
    <w:rsid w:val="002659A6"/>
    <w:rsid w:val="0026651F"/>
    <w:rsid w:val="00266CE8"/>
    <w:rsid w:val="0026723C"/>
    <w:rsid w:val="00272CB0"/>
    <w:rsid w:val="00273BA2"/>
    <w:rsid w:val="002740B9"/>
    <w:rsid w:val="00275C95"/>
    <w:rsid w:val="0027661D"/>
    <w:rsid w:val="002770B7"/>
    <w:rsid w:val="00277460"/>
    <w:rsid w:val="002804CE"/>
    <w:rsid w:val="00280A65"/>
    <w:rsid w:val="00280FEF"/>
    <w:rsid w:val="0028109A"/>
    <w:rsid w:val="00281DDC"/>
    <w:rsid w:val="00281FBE"/>
    <w:rsid w:val="00282FD5"/>
    <w:rsid w:val="00283114"/>
    <w:rsid w:val="002835DD"/>
    <w:rsid w:val="00286DD8"/>
    <w:rsid w:val="0029043C"/>
    <w:rsid w:val="00291B72"/>
    <w:rsid w:val="00291D32"/>
    <w:rsid w:val="00292455"/>
    <w:rsid w:val="00292814"/>
    <w:rsid w:val="00293606"/>
    <w:rsid w:val="00294454"/>
    <w:rsid w:val="00295F60"/>
    <w:rsid w:val="0029658E"/>
    <w:rsid w:val="00297173"/>
    <w:rsid w:val="00297E08"/>
    <w:rsid w:val="002A051B"/>
    <w:rsid w:val="002A4A0D"/>
    <w:rsid w:val="002A6BD5"/>
    <w:rsid w:val="002B038E"/>
    <w:rsid w:val="002B1C31"/>
    <w:rsid w:val="002B2154"/>
    <w:rsid w:val="002B41F4"/>
    <w:rsid w:val="002B4A6A"/>
    <w:rsid w:val="002B4D23"/>
    <w:rsid w:val="002B5B35"/>
    <w:rsid w:val="002C26CC"/>
    <w:rsid w:val="002C3295"/>
    <w:rsid w:val="002C4012"/>
    <w:rsid w:val="002C6AE5"/>
    <w:rsid w:val="002D1214"/>
    <w:rsid w:val="002D3563"/>
    <w:rsid w:val="002D3D89"/>
    <w:rsid w:val="002D6CCA"/>
    <w:rsid w:val="002D7D4C"/>
    <w:rsid w:val="002E09BA"/>
    <w:rsid w:val="002E12E1"/>
    <w:rsid w:val="002E1F1D"/>
    <w:rsid w:val="002E3588"/>
    <w:rsid w:val="002E414F"/>
    <w:rsid w:val="002E4D98"/>
    <w:rsid w:val="002E4FC2"/>
    <w:rsid w:val="002E621E"/>
    <w:rsid w:val="002E7FC6"/>
    <w:rsid w:val="002F2128"/>
    <w:rsid w:val="002F2CC3"/>
    <w:rsid w:val="002F31D8"/>
    <w:rsid w:val="002F4CE2"/>
    <w:rsid w:val="002F4EE5"/>
    <w:rsid w:val="002F6F42"/>
    <w:rsid w:val="0030021B"/>
    <w:rsid w:val="003005E8"/>
    <w:rsid w:val="00300D84"/>
    <w:rsid w:val="003051A4"/>
    <w:rsid w:val="00306C91"/>
    <w:rsid w:val="00307EEB"/>
    <w:rsid w:val="00307F4F"/>
    <w:rsid w:val="00310B99"/>
    <w:rsid w:val="0031148A"/>
    <w:rsid w:val="00311CAC"/>
    <w:rsid w:val="00313693"/>
    <w:rsid w:val="00314DC2"/>
    <w:rsid w:val="00314E14"/>
    <w:rsid w:val="0031541C"/>
    <w:rsid w:val="00315C51"/>
    <w:rsid w:val="00316675"/>
    <w:rsid w:val="00316A41"/>
    <w:rsid w:val="003202BA"/>
    <w:rsid w:val="003205E8"/>
    <w:rsid w:val="0032241D"/>
    <w:rsid w:val="003227D9"/>
    <w:rsid w:val="00325D8E"/>
    <w:rsid w:val="0032712D"/>
    <w:rsid w:val="003276D1"/>
    <w:rsid w:val="003316FD"/>
    <w:rsid w:val="00331756"/>
    <w:rsid w:val="00333B48"/>
    <w:rsid w:val="00334E84"/>
    <w:rsid w:val="00335FD1"/>
    <w:rsid w:val="0033603E"/>
    <w:rsid w:val="003409C2"/>
    <w:rsid w:val="00341BF5"/>
    <w:rsid w:val="0034506F"/>
    <w:rsid w:val="00346D10"/>
    <w:rsid w:val="00347593"/>
    <w:rsid w:val="003475ED"/>
    <w:rsid w:val="00347A0A"/>
    <w:rsid w:val="00350B66"/>
    <w:rsid w:val="00350E2E"/>
    <w:rsid w:val="003527E3"/>
    <w:rsid w:val="003564E1"/>
    <w:rsid w:val="00356C77"/>
    <w:rsid w:val="00356D20"/>
    <w:rsid w:val="00360BC0"/>
    <w:rsid w:val="00361E7B"/>
    <w:rsid w:val="00362A3D"/>
    <w:rsid w:val="00364206"/>
    <w:rsid w:val="003676A9"/>
    <w:rsid w:val="003706F7"/>
    <w:rsid w:val="00371787"/>
    <w:rsid w:val="00371850"/>
    <w:rsid w:val="00371F2C"/>
    <w:rsid w:val="00372732"/>
    <w:rsid w:val="00372A07"/>
    <w:rsid w:val="00372CDC"/>
    <w:rsid w:val="00372D8B"/>
    <w:rsid w:val="0037534C"/>
    <w:rsid w:val="0037541E"/>
    <w:rsid w:val="00375AEB"/>
    <w:rsid w:val="0037609C"/>
    <w:rsid w:val="003802B8"/>
    <w:rsid w:val="00381DB0"/>
    <w:rsid w:val="00383814"/>
    <w:rsid w:val="00383844"/>
    <w:rsid w:val="00384395"/>
    <w:rsid w:val="00384768"/>
    <w:rsid w:val="0038509B"/>
    <w:rsid w:val="00385288"/>
    <w:rsid w:val="00385F49"/>
    <w:rsid w:val="00385FF4"/>
    <w:rsid w:val="00390522"/>
    <w:rsid w:val="00391BB8"/>
    <w:rsid w:val="00391F5D"/>
    <w:rsid w:val="00395497"/>
    <w:rsid w:val="003A0DB0"/>
    <w:rsid w:val="003A10E2"/>
    <w:rsid w:val="003A1B28"/>
    <w:rsid w:val="003A445D"/>
    <w:rsid w:val="003A4479"/>
    <w:rsid w:val="003A5399"/>
    <w:rsid w:val="003A5B10"/>
    <w:rsid w:val="003A5FE4"/>
    <w:rsid w:val="003A6AC6"/>
    <w:rsid w:val="003A6F84"/>
    <w:rsid w:val="003A7329"/>
    <w:rsid w:val="003B0436"/>
    <w:rsid w:val="003B0B28"/>
    <w:rsid w:val="003B134F"/>
    <w:rsid w:val="003B2058"/>
    <w:rsid w:val="003B316A"/>
    <w:rsid w:val="003B4F56"/>
    <w:rsid w:val="003B5792"/>
    <w:rsid w:val="003B5C88"/>
    <w:rsid w:val="003B69CA"/>
    <w:rsid w:val="003B7911"/>
    <w:rsid w:val="003C1C86"/>
    <w:rsid w:val="003C22CE"/>
    <w:rsid w:val="003C2511"/>
    <w:rsid w:val="003C5025"/>
    <w:rsid w:val="003C527B"/>
    <w:rsid w:val="003C5441"/>
    <w:rsid w:val="003C5F9D"/>
    <w:rsid w:val="003C66ED"/>
    <w:rsid w:val="003C6940"/>
    <w:rsid w:val="003C7017"/>
    <w:rsid w:val="003C7F0C"/>
    <w:rsid w:val="003D06B1"/>
    <w:rsid w:val="003D0900"/>
    <w:rsid w:val="003D1EC8"/>
    <w:rsid w:val="003D49ED"/>
    <w:rsid w:val="003D7CE8"/>
    <w:rsid w:val="003E1388"/>
    <w:rsid w:val="003E1FB3"/>
    <w:rsid w:val="003E25BE"/>
    <w:rsid w:val="003E31BF"/>
    <w:rsid w:val="003E31FB"/>
    <w:rsid w:val="003E3905"/>
    <w:rsid w:val="003E3CFF"/>
    <w:rsid w:val="003E50DF"/>
    <w:rsid w:val="003E73A5"/>
    <w:rsid w:val="003E7E19"/>
    <w:rsid w:val="003F1618"/>
    <w:rsid w:val="003F1DEC"/>
    <w:rsid w:val="003F21CF"/>
    <w:rsid w:val="003F279A"/>
    <w:rsid w:val="003F3104"/>
    <w:rsid w:val="003F46CF"/>
    <w:rsid w:val="003F5868"/>
    <w:rsid w:val="003F6C73"/>
    <w:rsid w:val="00400383"/>
    <w:rsid w:val="00401278"/>
    <w:rsid w:val="0040168C"/>
    <w:rsid w:val="00401AFB"/>
    <w:rsid w:val="00403D22"/>
    <w:rsid w:val="00404353"/>
    <w:rsid w:val="00406893"/>
    <w:rsid w:val="00407A5F"/>
    <w:rsid w:val="004107BC"/>
    <w:rsid w:val="00410D1B"/>
    <w:rsid w:val="00412274"/>
    <w:rsid w:val="00412C8D"/>
    <w:rsid w:val="00412D71"/>
    <w:rsid w:val="00413B2D"/>
    <w:rsid w:val="00415935"/>
    <w:rsid w:val="00415D57"/>
    <w:rsid w:val="004179AC"/>
    <w:rsid w:val="00420438"/>
    <w:rsid w:val="00420A03"/>
    <w:rsid w:val="0042103B"/>
    <w:rsid w:val="00421DA6"/>
    <w:rsid w:val="00422035"/>
    <w:rsid w:val="00424BCF"/>
    <w:rsid w:val="00425EA7"/>
    <w:rsid w:val="00426C0F"/>
    <w:rsid w:val="00426CD8"/>
    <w:rsid w:val="00426F87"/>
    <w:rsid w:val="0042780F"/>
    <w:rsid w:val="004336E3"/>
    <w:rsid w:val="0043374D"/>
    <w:rsid w:val="00434D28"/>
    <w:rsid w:val="004366E2"/>
    <w:rsid w:val="00437627"/>
    <w:rsid w:val="00437BEA"/>
    <w:rsid w:val="00440CB1"/>
    <w:rsid w:val="004415FD"/>
    <w:rsid w:val="0044172D"/>
    <w:rsid w:val="00442574"/>
    <w:rsid w:val="00443264"/>
    <w:rsid w:val="00444956"/>
    <w:rsid w:val="00446780"/>
    <w:rsid w:val="00446A8C"/>
    <w:rsid w:val="00447DCA"/>
    <w:rsid w:val="00450D2A"/>
    <w:rsid w:val="00451453"/>
    <w:rsid w:val="00451F48"/>
    <w:rsid w:val="00453521"/>
    <w:rsid w:val="004552D9"/>
    <w:rsid w:val="004626AB"/>
    <w:rsid w:val="004630D7"/>
    <w:rsid w:val="004652EE"/>
    <w:rsid w:val="00465E8E"/>
    <w:rsid w:val="00467509"/>
    <w:rsid w:val="004718DC"/>
    <w:rsid w:val="00472B05"/>
    <w:rsid w:val="00472C88"/>
    <w:rsid w:val="00474A33"/>
    <w:rsid w:val="00475851"/>
    <w:rsid w:val="004761D2"/>
    <w:rsid w:val="00476775"/>
    <w:rsid w:val="004819A1"/>
    <w:rsid w:val="00481A01"/>
    <w:rsid w:val="00481E41"/>
    <w:rsid w:val="0048254C"/>
    <w:rsid w:val="00485076"/>
    <w:rsid w:val="00486093"/>
    <w:rsid w:val="00486DDE"/>
    <w:rsid w:val="0048774A"/>
    <w:rsid w:val="00487C5F"/>
    <w:rsid w:val="00487FE2"/>
    <w:rsid w:val="00491AC1"/>
    <w:rsid w:val="00495D8E"/>
    <w:rsid w:val="00496FF4"/>
    <w:rsid w:val="00497CC4"/>
    <w:rsid w:val="00497DD5"/>
    <w:rsid w:val="004A0195"/>
    <w:rsid w:val="004A081D"/>
    <w:rsid w:val="004A1DBF"/>
    <w:rsid w:val="004A2722"/>
    <w:rsid w:val="004A5B46"/>
    <w:rsid w:val="004A622C"/>
    <w:rsid w:val="004A7735"/>
    <w:rsid w:val="004A7BCF"/>
    <w:rsid w:val="004A7E57"/>
    <w:rsid w:val="004B2188"/>
    <w:rsid w:val="004B2461"/>
    <w:rsid w:val="004B27CE"/>
    <w:rsid w:val="004B481A"/>
    <w:rsid w:val="004B681A"/>
    <w:rsid w:val="004C1BB5"/>
    <w:rsid w:val="004C40CD"/>
    <w:rsid w:val="004C4CF2"/>
    <w:rsid w:val="004C4D80"/>
    <w:rsid w:val="004C4E12"/>
    <w:rsid w:val="004C6CB1"/>
    <w:rsid w:val="004C7112"/>
    <w:rsid w:val="004D1BE7"/>
    <w:rsid w:val="004D27C2"/>
    <w:rsid w:val="004D2C24"/>
    <w:rsid w:val="004D4717"/>
    <w:rsid w:val="004D58A7"/>
    <w:rsid w:val="004D61B2"/>
    <w:rsid w:val="004D6E68"/>
    <w:rsid w:val="004D7481"/>
    <w:rsid w:val="004D762F"/>
    <w:rsid w:val="004E2A89"/>
    <w:rsid w:val="004E33F4"/>
    <w:rsid w:val="004E5C9F"/>
    <w:rsid w:val="004E5D92"/>
    <w:rsid w:val="004E662E"/>
    <w:rsid w:val="004E7A7B"/>
    <w:rsid w:val="004E7DFD"/>
    <w:rsid w:val="004F0A29"/>
    <w:rsid w:val="004F266F"/>
    <w:rsid w:val="004F2956"/>
    <w:rsid w:val="004F2B35"/>
    <w:rsid w:val="004F31EF"/>
    <w:rsid w:val="004F413C"/>
    <w:rsid w:val="004F4CB1"/>
    <w:rsid w:val="004F4F3B"/>
    <w:rsid w:val="004F5B81"/>
    <w:rsid w:val="004F6D20"/>
    <w:rsid w:val="004F70F5"/>
    <w:rsid w:val="004F7551"/>
    <w:rsid w:val="004F7C05"/>
    <w:rsid w:val="004F7DBE"/>
    <w:rsid w:val="00501542"/>
    <w:rsid w:val="00501E25"/>
    <w:rsid w:val="005022C1"/>
    <w:rsid w:val="00504C8A"/>
    <w:rsid w:val="00505F26"/>
    <w:rsid w:val="00506844"/>
    <w:rsid w:val="00507C38"/>
    <w:rsid w:val="00507DE6"/>
    <w:rsid w:val="00510480"/>
    <w:rsid w:val="005120A7"/>
    <w:rsid w:val="0051280D"/>
    <w:rsid w:val="00513E50"/>
    <w:rsid w:val="0051489B"/>
    <w:rsid w:val="005155A9"/>
    <w:rsid w:val="00515962"/>
    <w:rsid w:val="00517C61"/>
    <w:rsid w:val="00522657"/>
    <w:rsid w:val="00523418"/>
    <w:rsid w:val="005252AC"/>
    <w:rsid w:val="005257AA"/>
    <w:rsid w:val="00526AE5"/>
    <w:rsid w:val="00530372"/>
    <w:rsid w:val="00532116"/>
    <w:rsid w:val="00533354"/>
    <w:rsid w:val="0053581D"/>
    <w:rsid w:val="005361A6"/>
    <w:rsid w:val="005365A4"/>
    <w:rsid w:val="00541069"/>
    <w:rsid w:val="00541AD1"/>
    <w:rsid w:val="00541CCF"/>
    <w:rsid w:val="00541FA4"/>
    <w:rsid w:val="00542910"/>
    <w:rsid w:val="00542A9F"/>
    <w:rsid w:val="00542EC6"/>
    <w:rsid w:val="00544489"/>
    <w:rsid w:val="005449D0"/>
    <w:rsid w:val="00545D1F"/>
    <w:rsid w:val="005464D8"/>
    <w:rsid w:val="00547A63"/>
    <w:rsid w:val="00547D79"/>
    <w:rsid w:val="00550294"/>
    <w:rsid w:val="00550A9D"/>
    <w:rsid w:val="0055146E"/>
    <w:rsid w:val="00552790"/>
    <w:rsid w:val="00553808"/>
    <w:rsid w:val="00554FA5"/>
    <w:rsid w:val="0056072B"/>
    <w:rsid w:val="00561A39"/>
    <w:rsid w:val="00562458"/>
    <w:rsid w:val="00563B3E"/>
    <w:rsid w:val="00563E31"/>
    <w:rsid w:val="005649F0"/>
    <w:rsid w:val="00567387"/>
    <w:rsid w:val="00572D35"/>
    <w:rsid w:val="00573929"/>
    <w:rsid w:val="0057403F"/>
    <w:rsid w:val="0057413F"/>
    <w:rsid w:val="00580DAC"/>
    <w:rsid w:val="00581B85"/>
    <w:rsid w:val="00581C75"/>
    <w:rsid w:val="0058232E"/>
    <w:rsid w:val="0058391D"/>
    <w:rsid w:val="00585AE0"/>
    <w:rsid w:val="00586470"/>
    <w:rsid w:val="00586812"/>
    <w:rsid w:val="00590404"/>
    <w:rsid w:val="005908A0"/>
    <w:rsid w:val="00591709"/>
    <w:rsid w:val="00592D16"/>
    <w:rsid w:val="00594266"/>
    <w:rsid w:val="0059433D"/>
    <w:rsid w:val="00594608"/>
    <w:rsid w:val="00594766"/>
    <w:rsid w:val="00595F68"/>
    <w:rsid w:val="0059698F"/>
    <w:rsid w:val="00597270"/>
    <w:rsid w:val="005977E7"/>
    <w:rsid w:val="005A0979"/>
    <w:rsid w:val="005A0C07"/>
    <w:rsid w:val="005A112D"/>
    <w:rsid w:val="005A226E"/>
    <w:rsid w:val="005A2579"/>
    <w:rsid w:val="005A26EF"/>
    <w:rsid w:val="005A43AE"/>
    <w:rsid w:val="005A5577"/>
    <w:rsid w:val="005A5BF6"/>
    <w:rsid w:val="005A6761"/>
    <w:rsid w:val="005B0109"/>
    <w:rsid w:val="005B060E"/>
    <w:rsid w:val="005B07A8"/>
    <w:rsid w:val="005B3421"/>
    <w:rsid w:val="005B56A2"/>
    <w:rsid w:val="005B645C"/>
    <w:rsid w:val="005C0E93"/>
    <w:rsid w:val="005C309B"/>
    <w:rsid w:val="005C38A1"/>
    <w:rsid w:val="005C3E22"/>
    <w:rsid w:val="005C4229"/>
    <w:rsid w:val="005D1AE8"/>
    <w:rsid w:val="005D2FE3"/>
    <w:rsid w:val="005D3C90"/>
    <w:rsid w:val="005D4120"/>
    <w:rsid w:val="005D4A06"/>
    <w:rsid w:val="005D4F28"/>
    <w:rsid w:val="005E052F"/>
    <w:rsid w:val="005E1FEB"/>
    <w:rsid w:val="005E2264"/>
    <w:rsid w:val="005E3D2F"/>
    <w:rsid w:val="005E5CB7"/>
    <w:rsid w:val="005E79EF"/>
    <w:rsid w:val="005E7B5F"/>
    <w:rsid w:val="005E7D8C"/>
    <w:rsid w:val="005F0684"/>
    <w:rsid w:val="005F11D1"/>
    <w:rsid w:val="005F2A2E"/>
    <w:rsid w:val="005F3416"/>
    <w:rsid w:val="005F3A7B"/>
    <w:rsid w:val="005F4425"/>
    <w:rsid w:val="005F67AF"/>
    <w:rsid w:val="005F6C3A"/>
    <w:rsid w:val="006028B0"/>
    <w:rsid w:val="00603948"/>
    <w:rsid w:val="00603D90"/>
    <w:rsid w:val="0060545D"/>
    <w:rsid w:val="00605A96"/>
    <w:rsid w:val="00606128"/>
    <w:rsid w:val="00606BB7"/>
    <w:rsid w:val="00607804"/>
    <w:rsid w:val="006100AD"/>
    <w:rsid w:val="00616EFD"/>
    <w:rsid w:val="00617B4C"/>
    <w:rsid w:val="00621A4A"/>
    <w:rsid w:val="00623496"/>
    <w:rsid w:val="00623903"/>
    <w:rsid w:val="00623F48"/>
    <w:rsid w:val="00624E26"/>
    <w:rsid w:val="00627540"/>
    <w:rsid w:val="006278C8"/>
    <w:rsid w:val="006345CC"/>
    <w:rsid w:val="0063588F"/>
    <w:rsid w:val="00635983"/>
    <w:rsid w:val="00636DB2"/>
    <w:rsid w:val="00637038"/>
    <w:rsid w:val="00637722"/>
    <w:rsid w:val="00640097"/>
    <w:rsid w:val="00641261"/>
    <w:rsid w:val="00643DDD"/>
    <w:rsid w:val="00643FEB"/>
    <w:rsid w:val="00645BF8"/>
    <w:rsid w:val="00645C8A"/>
    <w:rsid w:val="00650856"/>
    <w:rsid w:val="00651281"/>
    <w:rsid w:val="006512AE"/>
    <w:rsid w:val="00654262"/>
    <w:rsid w:val="00655469"/>
    <w:rsid w:val="00655A9C"/>
    <w:rsid w:val="00655C5B"/>
    <w:rsid w:val="00655DC1"/>
    <w:rsid w:val="00657198"/>
    <w:rsid w:val="006571C6"/>
    <w:rsid w:val="0066150B"/>
    <w:rsid w:val="0066320E"/>
    <w:rsid w:val="0066357C"/>
    <w:rsid w:val="00663BF2"/>
    <w:rsid w:val="00664494"/>
    <w:rsid w:val="00665ED7"/>
    <w:rsid w:val="0066606C"/>
    <w:rsid w:val="006676C2"/>
    <w:rsid w:val="00667822"/>
    <w:rsid w:val="006705A8"/>
    <w:rsid w:val="00671D56"/>
    <w:rsid w:val="00671E40"/>
    <w:rsid w:val="00671EC6"/>
    <w:rsid w:val="0067294F"/>
    <w:rsid w:val="00672EC0"/>
    <w:rsid w:val="0067378A"/>
    <w:rsid w:val="00675441"/>
    <w:rsid w:val="0067733A"/>
    <w:rsid w:val="0068029B"/>
    <w:rsid w:val="0068535D"/>
    <w:rsid w:val="00685C75"/>
    <w:rsid w:val="00690A73"/>
    <w:rsid w:val="006913FE"/>
    <w:rsid w:val="00694486"/>
    <w:rsid w:val="0069611F"/>
    <w:rsid w:val="006963B7"/>
    <w:rsid w:val="00696B42"/>
    <w:rsid w:val="0069786B"/>
    <w:rsid w:val="006A2A5D"/>
    <w:rsid w:val="006A2F2D"/>
    <w:rsid w:val="006A4A7F"/>
    <w:rsid w:val="006A4E5B"/>
    <w:rsid w:val="006A4FEC"/>
    <w:rsid w:val="006A598E"/>
    <w:rsid w:val="006A6338"/>
    <w:rsid w:val="006A6CCF"/>
    <w:rsid w:val="006A74B4"/>
    <w:rsid w:val="006B0997"/>
    <w:rsid w:val="006B0EB7"/>
    <w:rsid w:val="006B21D3"/>
    <w:rsid w:val="006B5AF7"/>
    <w:rsid w:val="006B6194"/>
    <w:rsid w:val="006B6E97"/>
    <w:rsid w:val="006B7598"/>
    <w:rsid w:val="006C0444"/>
    <w:rsid w:val="006C24B6"/>
    <w:rsid w:val="006C3B14"/>
    <w:rsid w:val="006C4503"/>
    <w:rsid w:val="006C4BD0"/>
    <w:rsid w:val="006C722E"/>
    <w:rsid w:val="006D038C"/>
    <w:rsid w:val="006D2661"/>
    <w:rsid w:val="006D2C17"/>
    <w:rsid w:val="006D423E"/>
    <w:rsid w:val="006D51E6"/>
    <w:rsid w:val="006D5E5C"/>
    <w:rsid w:val="006D7923"/>
    <w:rsid w:val="006D7F79"/>
    <w:rsid w:val="006E0689"/>
    <w:rsid w:val="006E33B6"/>
    <w:rsid w:val="006E3FED"/>
    <w:rsid w:val="006E649A"/>
    <w:rsid w:val="006E6BF2"/>
    <w:rsid w:val="006E7AA4"/>
    <w:rsid w:val="006F005C"/>
    <w:rsid w:val="006F0AFD"/>
    <w:rsid w:val="006F4F33"/>
    <w:rsid w:val="006F6520"/>
    <w:rsid w:val="006F7670"/>
    <w:rsid w:val="00700BF9"/>
    <w:rsid w:val="00700ECB"/>
    <w:rsid w:val="00707244"/>
    <w:rsid w:val="0070725E"/>
    <w:rsid w:val="007102F3"/>
    <w:rsid w:val="007103F1"/>
    <w:rsid w:val="00711044"/>
    <w:rsid w:val="007123DF"/>
    <w:rsid w:val="00714281"/>
    <w:rsid w:val="00714C48"/>
    <w:rsid w:val="00715178"/>
    <w:rsid w:val="007155F4"/>
    <w:rsid w:val="007160A3"/>
    <w:rsid w:val="00716A87"/>
    <w:rsid w:val="00716F9F"/>
    <w:rsid w:val="00720B17"/>
    <w:rsid w:val="00721309"/>
    <w:rsid w:val="00722261"/>
    <w:rsid w:val="00725346"/>
    <w:rsid w:val="0072560B"/>
    <w:rsid w:val="00725DFA"/>
    <w:rsid w:val="00725E23"/>
    <w:rsid w:val="0072721A"/>
    <w:rsid w:val="007313BA"/>
    <w:rsid w:val="007313DE"/>
    <w:rsid w:val="00731D53"/>
    <w:rsid w:val="00732ACE"/>
    <w:rsid w:val="007359AE"/>
    <w:rsid w:val="0073651E"/>
    <w:rsid w:val="007366B7"/>
    <w:rsid w:val="00736D97"/>
    <w:rsid w:val="007370D4"/>
    <w:rsid w:val="0074037D"/>
    <w:rsid w:val="00740701"/>
    <w:rsid w:val="00742441"/>
    <w:rsid w:val="00742446"/>
    <w:rsid w:val="00742BF7"/>
    <w:rsid w:val="00743B0E"/>
    <w:rsid w:val="00743CA6"/>
    <w:rsid w:val="007448E7"/>
    <w:rsid w:val="00744D1F"/>
    <w:rsid w:val="007450B0"/>
    <w:rsid w:val="0074526C"/>
    <w:rsid w:val="0074610C"/>
    <w:rsid w:val="00747C42"/>
    <w:rsid w:val="0075515B"/>
    <w:rsid w:val="00755444"/>
    <w:rsid w:val="00756EA9"/>
    <w:rsid w:val="00757736"/>
    <w:rsid w:val="007605D6"/>
    <w:rsid w:val="00760AFF"/>
    <w:rsid w:val="0076155E"/>
    <w:rsid w:val="00761CBE"/>
    <w:rsid w:val="00766A77"/>
    <w:rsid w:val="00766E81"/>
    <w:rsid w:val="00767802"/>
    <w:rsid w:val="00767FA3"/>
    <w:rsid w:val="007703BB"/>
    <w:rsid w:val="007708C4"/>
    <w:rsid w:val="00770C0B"/>
    <w:rsid w:val="0077145F"/>
    <w:rsid w:val="00771FCA"/>
    <w:rsid w:val="00773166"/>
    <w:rsid w:val="00773570"/>
    <w:rsid w:val="00773EB9"/>
    <w:rsid w:val="0077433A"/>
    <w:rsid w:val="007770C9"/>
    <w:rsid w:val="00777B96"/>
    <w:rsid w:val="00777CCA"/>
    <w:rsid w:val="00782B4E"/>
    <w:rsid w:val="007830F7"/>
    <w:rsid w:val="007838AB"/>
    <w:rsid w:val="00783B3A"/>
    <w:rsid w:val="00786543"/>
    <w:rsid w:val="00787D93"/>
    <w:rsid w:val="00787EB1"/>
    <w:rsid w:val="007901F5"/>
    <w:rsid w:val="00791213"/>
    <w:rsid w:val="00791F8A"/>
    <w:rsid w:val="007943F5"/>
    <w:rsid w:val="00795078"/>
    <w:rsid w:val="00796409"/>
    <w:rsid w:val="00797610"/>
    <w:rsid w:val="00797EAC"/>
    <w:rsid w:val="007A03DF"/>
    <w:rsid w:val="007A0DB8"/>
    <w:rsid w:val="007A0E9D"/>
    <w:rsid w:val="007A17D9"/>
    <w:rsid w:val="007A73AD"/>
    <w:rsid w:val="007A7839"/>
    <w:rsid w:val="007B015E"/>
    <w:rsid w:val="007B0FA6"/>
    <w:rsid w:val="007B14EC"/>
    <w:rsid w:val="007B30B2"/>
    <w:rsid w:val="007B377B"/>
    <w:rsid w:val="007B3E74"/>
    <w:rsid w:val="007B5D4E"/>
    <w:rsid w:val="007B61EB"/>
    <w:rsid w:val="007B723F"/>
    <w:rsid w:val="007C002A"/>
    <w:rsid w:val="007C3732"/>
    <w:rsid w:val="007C4C2D"/>
    <w:rsid w:val="007C5399"/>
    <w:rsid w:val="007C5F90"/>
    <w:rsid w:val="007C684B"/>
    <w:rsid w:val="007C6978"/>
    <w:rsid w:val="007C724A"/>
    <w:rsid w:val="007D0F36"/>
    <w:rsid w:val="007D101C"/>
    <w:rsid w:val="007D23C5"/>
    <w:rsid w:val="007D3C01"/>
    <w:rsid w:val="007D3C48"/>
    <w:rsid w:val="007D3F67"/>
    <w:rsid w:val="007D5615"/>
    <w:rsid w:val="007D5A11"/>
    <w:rsid w:val="007D5ADA"/>
    <w:rsid w:val="007D63E7"/>
    <w:rsid w:val="007D6543"/>
    <w:rsid w:val="007E005D"/>
    <w:rsid w:val="007E02CB"/>
    <w:rsid w:val="007E0F83"/>
    <w:rsid w:val="007E2036"/>
    <w:rsid w:val="007E273B"/>
    <w:rsid w:val="007E38E0"/>
    <w:rsid w:val="007E40B1"/>
    <w:rsid w:val="007E4CB4"/>
    <w:rsid w:val="007F0893"/>
    <w:rsid w:val="007F2EC6"/>
    <w:rsid w:val="007F51D0"/>
    <w:rsid w:val="007F575E"/>
    <w:rsid w:val="007F65D1"/>
    <w:rsid w:val="007F6E1C"/>
    <w:rsid w:val="00801560"/>
    <w:rsid w:val="0080164C"/>
    <w:rsid w:val="008019F0"/>
    <w:rsid w:val="00803C83"/>
    <w:rsid w:val="00803D9B"/>
    <w:rsid w:val="00805C56"/>
    <w:rsid w:val="00807A3F"/>
    <w:rsid w:val="00810520"/>
    <w:rsid w:val="00810639"/>
    <w:rsid w:val="00810BD8"/>
    <w:rsid w:val="00813781"/>
    <w:rsid w:val="008140F9"/>
    <w:rsid w:val="00814172"/>
    <w:rsid w:val="0081469C"/>
    <w:rsid w:val="008147FC"/>
    <w:rsid w:val="00817A45"/>
    <w:rsid w:val="00817FED"/>
    <w:rsid w:val="0082014B"/>
    <w:rsid w:val="00821DFC"/>
    <w:rsid w:val="00825417"/>
    <w:rsid w:val="00825C77"/>
    <w:rsid w:val="0082654B"/>
    <w:rsid w:val="00827FE3"/>
    <w:rsid w:val="00830014"/>
    <w:rsid w:val="00832591"/>
    <w:rsid w:val="008344A5"/>
    <w:rsid w:val="00835031"/>
    <w:rsid w:val="00836AA0"/>
    <w:rsid w:val="00836FF1"/>
    <w:rsid w:val="00837372"/>
    <w:rsid w:val="0084002A"/>
    <w:rsid w:val="00840092"/>
    <w:rsid w:val="008413BD"/>
    <w:rsid w:val="00843920"/>
    <w:rsid w:val="0084552A"/>
    <w:rsid w:val="00845A92"/>
    <w:rsid w:val="00845B6F"/>
    <w:rsid w:val="00847BF2"/>
    <w:rsid w:val="0085130C"/>
    <w:rsid w:val="00851920"/>
    <w:rsid w:val="00852D8E"/>
    <w:rsid w:val="00853024"/>
    <w:rsid w:val="00853834"/>
    <w:rsid w:val="008538CD"/>
    <w:rsid w:val="008539AD"/>
    <w:rsid w:val="00853B8F"/>
    <w:rsid w:val="00854726"/>
    <w:rsid w:val="0085482F"/>
    <w:rsid w:val="00854CFC"/>
    <w:rsid w:val="00855C37"/>
    <w:rsid w:val="00860805"/>
    <w:rsid w:val="00860D58"/>
    <w:rsid w:val="00860E99"/>
    <w:rsid w:val="00861E96"/>
    <w:rsid w:val="00862243"/>
    <w:rsid w:val="00862F7F"/>
    <w:rsid w:val="00863657"/>
    <w:rsid w:val="0086556D"/>
    <w:rsid w:val="008656B7"/>
    <w:rsid w:val="008678B0"/>
    <w:rsid w:val="00870C2D"/>
    <w:rsid w:val="008718F2"/>
    <w:rsid w:val="00872CB4"/>
    <w:rsid w:val="00874C5B"/>
    <w:rsid w:val="0087616A"/>
    <w:rsid w:val="00876196"/>
    <w:rsid w:val="00876DAA"/>
    <w:rsid w:val="00877E17"/>
    <w:rsid w:val="00877EC3"/>
    <w:rsid w:val="00877F9C"/>
    <w:rsid w:val="00880D9F"/>
    <w:rsid w:val="00882982"/>
    <w:rsid w:val="00882AB9"/>
    <w:rsid w:val="00883BE3"/>
    <w:rsid w:val="0088474C"/>
    <w:rsid w:val="008847B7"/>
    <w:rsid w:val="00884F9D"/>
    <w:rsid w:val="00885F35"/>
    <w:rsid w:val="00890915"/>
    <w:rsid w:val="00892038"/>
    <w:rsid w:val="00892236"/>
    <w:rsid w:val="0089361D"/>
    <w:rsid w:val="008947DF"/>
    <w:rsid w:val="00896C82"/>
    <w:rsid w:val="008A14E9"/>
    <w:rsid w:val="008A211B"/>
    <w:rsid w:val="008A3480"/>
    <w:rsid w:val="008A3CC2"/>
    <w:rsid w:val="008A4AB3"/>
    <w:rsid w:val="008A5B46"/>
    <w:rsid w:val="008A7C91"/>
    <w:rsid w:val="008B01D1"/>
    <w:rsid w:val="008B65EB"/>
    <w:rsid w:val="008B7DD0"/>
    <w:rsid w:val="008C0F76"/>
    <w:rsid w:val="008C4722"/>
    <w:rsid w:val="008C483C"/>
    <w:rsid w:val="008C48C6"/>
    <w:rsid w:val="008C6BD6"/>
    <w:rsid w:val="008C7B9E"/>
    <w:rsid w:val="008D1625"/>
    <w:rsid w:val="008D1E81"/>
    <w:rsid w:val="008D5C12"/>
    <w:rsid w:val="008D6273"/>
    <w:rsid w:val="008D7E34"/>
    <w:rsid w:val="008E1381"/>
    <w:rsid w:val="008E1EB8"/>
    <w:rsid w:val="008E1FDA"/>
    <w:rsid w:val="008E2F28"/>
    <w:rsid w:val="008E42F8"/>
    <w:rsid w:val="008E555E"/>
    <w:rsid w:val="008E63D3"/>
    <w:rsid w:val="008E66A3"/>
    <w:rsid w:val="008E737B"/>
    <w:rsid w:val="008E7684"/>
    <w:rsid w:val="008F0300"/>
    <w:rsid w:val="008F12BA"/>
    <w:rsid w:val="008F1683"/>
    <w:rsid w:val="008F19D4"/>
    <w:rsid w:val="008F1B66"/>
    <w:rsid w:val="008F25A3"/>
    <w:rsid w:val="008F2DE5"/>
    <w:rsid w:val="008F3755"/>
    <w:rsid w:val="008F4252"/>
    <w:rsid w:val="008F4EB5"/>
    <w:rsid w:val="008F6989"/>
    <w:rsid w:val="009020B1"/>
    <w:rsid w:val="00902478"/>
    <w:rsid w:val="0090263B"/>
    <w:rsid w:val="0090617D"/>
    <w:rsid w:val="009061CE"/>
    <w:rsid w:val="00907E0A"/>
    <w:rsid w:val="009136FE"/>
    <w:rsid w:val="0091478E"/>
    <w:rsid w:val="00914C69"/>
    <w:rsid w:val="009162B7"/>
    <w:rsid w:val="009214D4"/>
    <w:rsid w:val="00921B73"/>
    <w:rsid w:val="00922860"/>
    <w:rsid w:val="00927588"/>
    <w:rsid w:val="00930957"/>
    <w:rsid w:val="009330C9"/>
    <w:rsid w:val="00933833"/>
    <w:rsid w:val="00933AB2"/>
    <w:rsid w:val="00933ACA"/>
    <w:rsid w:val="009349B1"/>
    <w:rsid w:val="009351E0"/>
    <w:rsid w:val="0093681E"/>
    <w:rsid w:val="00936952"/>
    <w:rsid w:val="00937ED0"/>
    <w:rsid w:val="0094019C"/>
    <w:rsid w:val="00940C6E"/>
    <w:rsid w:val="00940C9D"/>
    <w:rsid w:val="00940F9C"/>
    <w:rsid w:val="00941943"/>
    <w:rsid w:val="00942021"/>
    <w:rsid w:val="00942873"/>
    <w:rsid w:val="00943357"/>
    <w:rsid w:val="00944762"/>
    <w:rsid w:val="00944F45"/>
    <w:rsid w:val="00945553"/>
    <w:rsid w:val="00947A5E"/>
    <w:rsid w:val="009509AA"/>
    <w:rsid w:val="009509BC"/>
    <w:rsid w:val="00952741"/>
    <w:rsid w:val="00952C9E"/>
    <w:rsid w:val="009540B8"/>
    <w:rsid w:val="00954811"/>
    <w:rsid w:val="00954998"/>
    <w:rsid w:val="00954AAA"/>
    <w:rsid w:val="00954B0A"/>
    <w:rsid w:val="00955AB1"/>
    <w:rsid w:val="009569A1"/>
    <w:rsid w:val="009607AC"/>
    <w:rsid w:val="00960E62"/>
    <w:rsid w:val="009617D5"/>
    <w:rsid w:val="00961CD0"/>
    <w:rsid w:val="00962B3D"/>
    <w:rsid w:val="00963239"/>
    <w:rsid w:val="009645F2"/>
    <w:rsid w:val="009648A2"/>
    <w:rsid w:val="0096536F"/>
    <w:rsid w:val="00965B57"/>
    <w:rsid w:val="009675D5"/>
    <w:rsid w:val="00970F49"/>
    <w:rsid w:val="0097238F"/>
    <w:rsid w:val="00972A9A"/>
    <w:rsid w:val="0097333F"/>
    <w:rsid w:val="009733AC"/>
    <w:rsid w:val="00973DDD"/>
    <w:rsid w:val="00974871"/>
    <w:rsid w:val="00974CC1"/>
    <w:rsid w:val="00975F36"/>
    <w:rsid w:val="009763E3"/>
    <w:rsid w:val="0097791B"/>
    <w:rsid w:val="00977E9B"/>
    <w:rsid w:val="009803A4"/>
    <w:rsid w:val="00980494"/>
    <w:rsid w:val="0098137D"/>
    <w:rsid w:val="00983AE2"/>
    <w:rsid w:val="0098426F"/>
    <w:rsid w:val="00984906"/>
    <w:rsid w:val="00985B1E"/>
    <w:rsid w:val="00985BC5"/>
    <w:rsid w:val="00985D6A"/>
    <w:rsid w:val="00986A07"/>
    <w:rsid w:val="00986E24"/>
    <w:rsid w:val="00987BAA"/>
    <w:rsid w:val="00990093"/>
    <w:rsid w:val="0099275F"/>
    <w:rsid w:val="00994327"/>
    <w:rsid w:val="00995274"/>
    <w:rsid w:val="009953CA"/>
    <w:rsid w:val="00995E8A"/>
    <w:rsid w:val="009A1055"/>
    <w:rsid w:val="009A4B97"/>
    <w:rsid w:val="009A4E6D"/>
    <w:rsid w:val="009A5200"/>
    <w:rsid w:val="009A52D2"/>
    <w:rsid w:val="009A544A"/>
    <w:rsid w:val="009A7092"/>
    <w:rsid w:val="009A712B"/>
    <w:rsid w:val="009B0F8E"/>
    <w:rsid w:val="009B173C"/>
    <w:rsid w:val="009B1AF1"/>
    <w:rsid w:val="009B2BAF"/>
    <w:rsid w:val="009B4596"/>
    <w:rsid w:val="009B5A58"/>
    <w:rsid w:val="009B5DB8"/>
    <w:rsid w:val="009B6327"/>
    <w:rsid w:val="009B6A1C"/>
    <w:rsid w:val="009C029F"/>
    <w:rsid w:val="009C43BB"/>
    <w:rsid w:val="009C55EC"/>
    <w:rsid w:val="009C5BEB"/>
    <w:rsid w:val="009C770F"/>
    <w:rsid w:val="009C7BFA"/>
    <w:rsid w:val="009D0946"/>
    <w:rsid w:val="009D0DC3"/>
    <w:rsid w:val="009D3AF4"/>
    <w:rsid w:val="009D433B"/>
    <w:rsid w:val="009D5595"/>
    <w:rsid w:val="009D60A6"/>
    <w:rsid w:val="009D62F3"/>
    <w:rsid w:val="009D6D69"/>
    <w:rsid w:val="009D6E9A"/>
    <w:rsid w:val="009E07FD"/>
    <w:rsid w:val="009E350A"/>
    <w:rsid w:val="009E576D"/>
    <w:rsid w:val="009E6CDF"/>
    <w:rsid w:val="009F2023"/>
    <w:rsid w:val="009F6926"/>
    <w:rsid w:val="009F6BD5"/>
    <w:rsid w:val="009F6CED"/>
    <w:rsid w:val="009F70FB"/>
    <w:rsid w:val="009F7510"/>
    <w:rsid w:val="009F76A2"/>
    <w:rsid w:val="00A01A68"/>
    <w:rsid w:val="00A02A63"/>
    <w:rsid w:val="00A03C7E"/>
    <w:rsid w:val="00A052FA"/>
    <w:rsid w:val="00A05634"/>
    <w:rsid w:val="00A059DC"/>
    <w:rsid w:val="00A05FF7"/>
    <w:rsid w:val="00A126EB"/>
    <w:rsid w:val="00A13D8E"/>
    <w:rsid w:val="00A143C7"/>
    <w:rsid w:val="00A15490"/>
    <w:rsid w:val="00A17099"/>
    <w:rsid w:val="00A1791B"/>
    <w:rsid w:val="00A20AA7"/>
    <w:rsid w:val="00A2142E"/>
    <w:rsid w:val="00A2192D"/>
    <w:rsid w:val="00A230B4"/>
    <w:rsid w:val="00A23EDF"/>
    <w:rsid w:val="00A242AD"/>
    <w:rsid w:val="00A24399"/>
    <w:rsid w:val="00A2490C"/>
    <w:rsid w:val="00A2602D"/>
    <w:rsid w:val="00A26786"/>
    <w:rsid w:val="00A26940"/>
    <w:rsid w:val="00A26A6F"/>
    <w:rsid w:val="00A323E7"/>
    <w:rsid w:val="00A36BAE"/>
    <w:rsid w:val="00A4026A"/>
    <w:rsid w:val="00A41AC2"/>
    <w:rsid w:val="00A421B3"/>
    <w:rsid w:val="00A431B9"/>
    <w:rsid w:val="00A44AEC"/>
    <w:rsid w:val="00A459A9"/>
    <w:rsid w:val="00A46E78"/>
    <w:rsid w:val="00A50A02"/>
    <w:rsid w:val="00A511F6"/>
    <w:rsid w:val="00A51660"/>
    <w:rsid w:val="00A53A52"/>
    <w:rsid w:val="00A54F72"/>
    <w:rsid w:val="00A56352"/>
    <w:rsid w:val="00A57655"/>
    <w:rsid w:val="00A5770C"/>
    <w:rsid w:val="00A6646F"/>
    <w:rsid w:val="00A70250"/>
    <w:rsid w:val="00A70AFC"/>
    <w:rsid w:val="00A7146A"/>
    <w:rsid w:val="00A725BB"/>
    <w:rsid w:val="00A7390B"/>
    <w:rsid w:val="00A73B0D"/>
    <w:rsid w:val="00A740A8"/>
    <w:rsid w:val="00A75479"/>
    <w:rsid w:val="00A75705"/>
    <w:rsid w:val="00A75A21"/>
    <w:rsid w:val="00A761B6"/>
    <w:rsid w:val="00A76E14"/>
    <w:rsid w:val="00A77460"/>
    <w:rsid w:val="00A820A6"/>
    <w:rsid w:val="00A82FC8"/>
    <w:rsid w:val="00A85730"/>
    <w:rsid w:val="00A86473"/>
    <w:rsid w:val="00A865F1"/>
    <w:rsid w:val="00A86DAC"/>
    <w:rsid w:val="00A8723D"/>
    <w:rsid w:val="00A87703"/>
    <w:rsid w:val="00A87FE0"/>
    <w:rsid w:val="00A90341"/>
    <w:rsid w:val="00A91A73"/>
    <w:rsid w:val="00A91C32"/>
    <w:rsid w:val="00A9307B"/>
    <w:rsid w:val="00A950C7"/>
    <w:rsid w:val="00A9749E"/>
    <w:rsid w:val="00A977F2"/>
    <w:rsid w:val="00A97BB5"/>
    <w:rsid w:val="00A97E6E"/>
    <w:rsid w:val="00AA6170"/>
    <w:rsid w:val="00AB199F"/>
    <w:rsid w:val="00AB25E7"/>
    <w:rsid w:val="00AB3C32"/>
    <w:rsid w:val="00AB45EF"/>
    <w:rsid w:val="00AB4EC0"/>
    <w:rsid w:val="00AB5692"/>
    <w:rsid w:val="00AB5E5F"/>
    <w:rsid w:val="00AB6279"/>
    <w:rsid w:val="00AB7A32"/>
    <w:rsid w:val="00AB7CF8"/>
    <w:rsid w:val="00AC2A50"/>
    <w:rsid w:val="00AC2DBE"/>
    <w:rsid w:val="00AC44C3"/>
    <w:rsid w:val="00AC549B"/>
    <w:rsid w:val="00AC607A"/>
    <w:rsid w:val="00AC6E8B"/>
    <w:rsid w:val="00AC7614"/>
    <w:rsid w:val="00AD0000"/>
    <w:rsid w:val="00AD0D40"/>
    <w:rsid w:val="00AD3682"/>
    <w:rsid w:val="00AD4212"/>
    <w:rsid w:val="00AD4A17"/>
    <w:rsid w:val="00AD70E0"/>
    <w:rsid w:val="00AE2456"/>
    <w:rsid w:val="00AE2E69"/>
    <w:rsid w:val="00AE430A"/>
    <w:rsid w:val="00AE59FD"/>
    <w:rsid w:val="00AE5D3D"/>
    <w:rsid w:val="00AE613A"/>
    <w:rsid w:val="00AE6BC6"/>
    <w:rsid w:val="00AE7DA4"/>
    <w:rsid w:val="00AF0B65"/>
    <w:rsid w:val="00AF1159"/>
    <w:rsid w:val="00AF1CD0"/>
    <w:rsid w:val="00AF250C"/>
    <w:rsid w:val="00AF3374"/>
    <w:rsid w:val="00AF601E"/>
    <w:rsid w:val="00AF694A"/>
    <w:rsid w:val="00AF795E"/>
    <w:rsid w:val="00B010E2"/>
    <w:rsid w:val="00B01C39"/>
    <w:rsid w:val="00B02C88"/>
    <w:rsid w:val="00B033CC"/>
    <w:rsid w:val="00B065D5"/>
    <w:rsid w:val="00B104C6"/>
    <w:rsid w:val="00B125BF"/>
    <w:rsid w:val="00B12781"/>
    <w:rsid w:val="00B12D57"/>
    <w:rsid w:val="00B13390"/>
    <w:rsid w:val="00B13C6A"/>
    <w:rsid w:val="00B15A3F"/>
    <w:rsid w:val="00B217B4"/>
    <w:rsid w:val="00B2265E"/>
    <w:rsid w:val="00B23224"/>
    <w:rsid w:val="00B243BB"/>
    <w:rsid w:val="00B27A07"/>
    <w:rsid w:val="00B31690"/>
    <w:rsid w:val="00B3337D"/>
    <w:rsid w:val="00B3467E"/>
    <w:rsid w:val="00B3691B"/>
    <w:rsid w:val="00B36944"/>
    <w:rsid w:val="00B36A21"/>
    <w:rsid w:val="00B3726C"/>
    <w:rsid w:val="00B374A8"/>
    <w:rsid w:val="00B37BEF"/>
    <w:rsid w:val="00B41873"/>
    <w:rsid w:val="00B41CB8"/>
    <w:rsid w:val="00B42517"/>
    <w:rsid w:val="00B42E32"/>
    <w:rsid w:val="00B43061"/>
    <w:rsid w:val="00B4332F"/>
    <w:rsid w:val="00B4353E"/>
    <w:rsid w:val="00B43BA2"/>
    <w:rsid w:val="00B44FA5"/>
    <w:rsid w:val="00B454F7"/>
    <w:rsid w:val="00B46F56"/>
    <w:rsid w:val="00B50773"/>
    <w:rsid w:val="00B509EF"/>
    <w:rsid w:val="00B52E6D"/>
    <w:rsid w:val="00B52ED0"/>
    <w:rsid w:val="00B53A73"/>
    <w:rsid w:val="00B54603"/>
    <w:rsid w:val="00B552DA"/>
    <w:rsid w:val="00B562E2"/>
    <w:rsid w:val="00B56A11"/>
    <w:rsid w:val="00B56DF8"/>
    <w:rsid w:val="00B56ECB"/>
    <w:rsid w:val="00B57429"/>
    <w:rsid w:val="00B6095E"/>
    <w:rsid w:val="00B62B84"/>
    <w:rsid w:val="00B62D66"/>
    <w:rsid w:val="00B63193"/>
    <w:rsid w:val="00B63813"/>
    <w:rsid w:val="00B65049"/>
    <w:rsid w:val="00B658D9"/>
    <w:rsid w:val="00B66398"/>
    <w:rsid w:val="00B71A12"/>
    <w:rsid w:val="00B726D6"/>
    <w:rsid w:val="00B72911"/>
    <w:rsid w:val="00B735C1"/>
    <w:rsid w:val="00B7381C"/>
    <w:rsid w:val="00B73EDF"/>
    <w:rsid w:val="00B76D9A"/>
    <w:rsid w:val="00B80857"/>
    <w:rsid w:val="00B81E28"/>
    <w:rsid w:val="00B83041"/>
    <w:rsid w:val="00B832B1"/>
    <w:rsid w:val="00B83D78"/>
    <w:rsid w:val="00B85A40"/>
    <w:rsid w:val="00B90617"/>
    <w:rsid w:val="00B9205C"/>
    <w:rsid w:val="00B920E4"/>
    <w:rsid w:val="00B92FBB"/>
    <w:rsid w:val="00B93B24"/>
    <w:rsid w:val="00B94187"/>
    <w:rsid w:val="00B96A2B"/>
    <w:rsid w:val="00B97073"/>
    <w:rsid w:val="00B97620"/>
    <w:rsid w:val="00BA47A8"/>
    <w:rsid w:val="00BA4DDB"/>
    <w:rsid w:val="00BA57D7"/>
    <w:rsid w:val="00BA6CBE"/>
    <w:rsid w:val="00BA7ECA"/>
    <w:rsid w:val="00BB07B8"/>
    <w:rsid w:val="00BB07E1"/>
    <w:rsid w:val="00BB145E"/>
    <w:rsid w:val="00BB1A2E"/>
    <w:rsid w:val="00BB4CF4"/>
    <w:rsid w:val="00BB54DE"/>
    <w:rsid w:val="00BB5D91"/>
    <w:rsid w:val="00BB7ADA"/>
    <w:rsid w:val="00BB7AFC"/>
    <w:rsid w:val="00BC1E07"/>
    <w:rsid w:val="00BC2B1A"/>
    <w:rsid w:val="00BC3C09"/>
    <w:rsid w:val="00BC51B8"/>
    <w:rsid w:val="00BC5675"/>
    <w:rsid w:val="00BC5A9B"/>
    <w:rsid w:val="00BC769F"/>
    <w:rsid w:val="00BC7A4C"/>
    <w:rsid w:val="00BC7FF9"/>
    <w:rsid w:val="00BD11C2"/>
    <w:rsid w:val="00BD13CB"/>
    <w:rsid w:val="00BD3043"/>
    <w:rsid w:val="00BD3855"/>
    <w:rsid w:val="00BD3DCE"/>
    <w:rsid w:val="00BD5628"/>
    <w:rsid w:val="00BD5AF3"/>
    <w:rsid w:val="00BD6C21"/>
    <w:rsid w:val="00BD7681"/>
    <w:rsid w:val="00BD7EF8"/>
    <w:rsid w:val="00BE0514"/>
    <w:rsid w:val="00BE190E"/>
    <w:rsid w:val="00BE1EC4"/>
    <w:rsid w:val="00BE2377"/>
    <w:rsid w:val="00BE3345"/>
    <w:rsid w:val="00BE4BC7"/>
    <w:rsid w:val="00BE5A4D"/>
    <w:rsid w:val="00BE61C8"/>
    <w:rsid w:val="00BE64F5"/>
    <w:rsid w:val="00BE79A6"/>
    <w:rsid w:val="00BF01C1"/>
    <w:rsid w:val="00BF086C"/>
    <w:rsid w:val="00BF0DB9"/>
    <w:rsid w:val="00BF1A73"/>
    <w:rsid w:val="00BF2508"/>
    <w:rsid w:val="00BF33D2"/>
    <w:rsid w:val="00BF37C2"/>
    <w:rsid w:val="00BF3935"/>
    <w:rsid w:val="00BF39BB"/>
    <w:rsid w:val="00BF46BB"/>
    <w:rsid w:val="00C00466"/>
    <w:rsid w:val="00C00A00"/>
    <w:rsid w:val="00C01001"/>
    <w:rsid w:val="00C01112"/>
    <w:rsid w:val="00C01494"/>
    <w:rsid w:val="00C025E7"/>
    <w:rsid w:val="00C0263E"/>
    <w:rsid w:val="00C051C2"/>
    <w:rsid w:val="00C05D4A"/>
    <w:rsid w:val="00C069A8"/>
    <w:rsid w:val="00C07CF0"/>
    <w:rsid w:val="00C10625"/>
    <w:rsid w:val="00C108ED"/>
    <w:rsid w:val="00C1090E"/>
    <w:rsid w:val="00C110A2"/>
    <w:rsid w:val="00C1184C"/>
    <w:rsid w:val="00C12BBE"/>
    <w:rsid w:val="00C12C0D"/>
    <w:rsid w:val="00C134D8"/>
    <w:rsid w:val="00C13FCD"/>
    <w:rsid w:val="00C14282"/>
    <w:rsid w:val="00C20CDF"/>
    <w:rsid w:val="00C23456"/>
    <w:rsid w:val="00C2390A"/>
    <w:rsid w:val="00C2498B"/>
    <w:rsid w:val="00C24E8B"/>
    <w:rsid w:val="00C25CDF"/>
    <w:rsid w:val="00C263A8"/>
    <w:rsid w:val="00C26807"/>
    <w:rsid w:val="00C27618"/>
    <w:rsid w:val="00C30A10"/>
    <w:rsid w:val="00C33D18"/>
    <w:rsid w:val="00C3696D"/>
    <w:rsid w:val="00C414D7"/>
    <w:rsid w:val="00C420DF"/>
    <w:rsid w:val="00C43040"/>
    <w:rsid w:val="00C43E3A"/>
    <w:rsid w:val="00C44D2D"/>
    <w:rsid w:val="00C52C4B"/>
    <w:rsid w:val="00C5351B"/>
    <w:rsid w:val="00C53DDA"/>
    <w:rsid w:val="00C54C15"/>
    <w:rsid w:val="00C56DF6"/>
    <w:rsid w:val="00C5737B"/>
    <w:rsid w:val="00C6038C"/>
    <w:rsid w:val="00C60584"/>
    <w:rsid w:val="00C6060A"/>
    <w:rsid w:val="00C60B28"/>
    <w:rsid w:val="00C62091"/>
    <w:rsid w:val="00C6258D"/>
    <w:rsid w:val="00C62A66"/>
    <w:rsid w:val="00C63628"/>
    <w:rsid w:val="00C67663"/>
    <w:rsid w:val="00C679EE"/>
    <w:rsid w:val="00C705A5"/>
    <w:rsid w:val="00C729D3"/>
    <w:rsid w:val="00C729E7"/>
    <w:rsid w:val="00C72B5E"/>
    <w:rsid w:val="00C73FA9"/>
    <w:rsid w:val="00C76B12"/>
    <w:rsid w:val="00C77E0D"/>
    <w:rsid w:val="00C810B5"/>
    <w:rsid w:val="00C8146A"/>
    <w:rsid w:val="00C81AD4"/>
    <w:rsid w:val="00C832A5"/>
    <w:rsid w:val="00C847BE"/>
    <w:rsid w:val="00C84EB8"/>
    <w:rsid w:val="00C853DA"/>
    <w:rsid w:val="00C85492"/>
    <w:rsid w:val="00C874D6"/>
    <w:rsid w:val="00C87B91"/>
    <w:rsid w:val="00C904F1"/>
    <w:rsid w:val="00C93076"/>
    <w:rsid w:val="00C9363B"/>
    <w:rsid w:val="00C9407F"/>
    <w:rsid w:val="00C9418E"/>
    <w:rsid w:val="00C94270"/>
    <w:rsid w:val="00C9510D"/>
    <w:rsid w:val="00C9524A"/>
    <w:rsid w:val="00C9531E"/>
    <w:rsid w:val="00C96A49"/>
    <w:rsid w:val="00C96D02"/>
    <w:rsid w:val="00C96F79"/>
    <w:rsid w:val="00C97053"/>
    <w:rsid w:val="00CA0E8F"/>
    <w:rsid w:val="00CA1042"/>
    <w:rsid w:val="00CA19D6"/>
    <w:rsid w:val="00CA227B"/>
    <w:rsid w:val="00CA2681"/>
    <w:rsid w:val="00CA3243"/>
    <w:rsid w:val="00CA33BB"/>
    <w:rsid w:val="00CA3F81"/>
    <w:rsid w:val="00CA6FBA"/>
    <w:rsid w:val="00CA7D86"/>
    <w:rsid w:val="00CB049B"/>
    <w:rsid w:val="00CB17AB"/>
    <w:rsid w:val="00CB2AB7"/>
    <w:rsid w:val="00CB2C14"/>
    <w:rsid w:val="00CB319C"/>
    <w:rsid w:val="00CB40E0"/>
    <w:rsid w:val="00CB4268"/>
    <w:rsid w:val="00CB4887"/>
    <w:rsid w:val="00CB5E55"/>
    <w:rsid w:val="00CB7E17"/>
    <w:rsid w:val="00CC0560"/>
    <w:rsid w:val="00CC22F9"/>
    <w:rsid w:val="00CC475F"/>
    <w:rsid w:val="00CC4EB8"/>
    <w:rsid w:val="00CC6A51"/>
    <w:rsid w:val="00CD32E1"/>
    <w:rsid w:val="00CD4064"/>
    <w:rsid w:val="00CD4BB8"/>
    <w:rsid w:val="00CD58EF"/>
    <w:rsid w:val="00CD6873"/>
    <w:rsid w:val="00CD6D47"/>
    <w:rsid w:val="00CE1881"/>
    <w:rsid w:val="00CE2F00"/>
    <w:rsid w:val="00CE3A87"/>
    <w:rsid w:val="00CE444A"/>
    <w:rsid w:val="00CE4555"/>
    <w:rsid w:val="00CE554B"/>
    <w:rsid w:val="00CE6B4D"/>
    <w:rsid w:val="00CE6BE7"/>
    <w:rsid w:val="00CE6D9B"/>
    <w:rsid w:val="00CE71E3"/>
    <w:rsid w:val="00CE755F"/>
    <w:rsid w:val="00CF13B5"/>
    <w:rsid w:val="00CF2191"/>
    <w:rsid w:val="00CF2F3E"/>
    <w:rsid w:val="00CF52F2"/>
    <w:rsid w:val="00CF60A1"/>
    <w:rsid w:val="00CF697C"/>
    <w:rsid w:val="00CF6ED6"/>
    <w:rsid w:val="00CF755D"/>
    <w:rsid w:val="00CF7737"/>
    <w:rsid w:val="00CF7C08"/>
    <w:rsid w:val="00D00C78"/>
    <w:rsid w:val="00D01C0A"/>
    <w:rsid w:val="00D0207C"/>
    <w:rsid w:val="00D02C9E"/>
    <w:rsid w:val="00D03193"/>
    <w:rsid w:val="00D046FC"/>
    <w:rsid w:val="00D0549B"/>
    <w:rsid w:val="00D068BA"/>
    <w:rsid w:val="00D06F2E"/>
    <w:rsid w:val="00D07F70"/>
    <w:rsid w:val="00D11242"/>
    <w:rsid w:val="00D11CD6"/>
    <w:rsid w:val="00D13802"/>
    <w:rsid w:val="00D143D3"/>
    <w:rsid w:val="00D15FA4"/>
    <w:rsid w:val="00D163D0"/>
    <w:rsid w:val="00D17D8C"/>
    <w:rsid w:val="00D2041F"/>
    <w:rsid w:val="00D20F72"/>
    <w:rsid w:val="00D21F92"/>
    <w:rsid w:val="00D22A45"/>
    <w:rsid w:val="00D23A07"/>
    <w:rsid w:val="00D249D9"/>
    <w:rsid w:val="00D25053"/>
    <w:rsid w:val="00D251A1"/>
    <w:rsid w:val="00D27CF7"/>
    <w:rsid w:val="00D33E71"/>
    <w:rsid w:val="00D35C26"/>
    <w:rsid w:val="00D4316D"/>
    <w:rsid w:val="00D44ED4"/>
    <w:rsid w:val="00D451A1"/>
    <w:rsid w:val="00D455F3"/>
    <w:rsid w:val="00D45AE4"/>
    <w:rsid w:val="00D46195"/>
    <w:rsid w:val="00D52AD4"/>
    <w:rsid w:val="00D52EE2"/>
    <w:rsid w:val="00D53501"/>
    <w:rsid w:val="00D5386C"/>
    <w:rsid w:val="00D540A6"/>
    <w:rsid w:val="00D5473A"/>
    <w:rsid w:val="00D54D0A"/>
    <w:rsid w:val="00D55EF3"/>
    <w:rsid w:val="00D57BE2"/>
    <w:rsid w:val="00D60B2A"/>
    <w:rsid w:val="00D616A7"/>
    <w:rsid w:val="00D61BE0"/>
    <w:rsid w:val="00D6282C"/>
    <w:rsid w:val="00D62908"/>
    <w:rsid w:val="00D62B56"/>
    <w:rsid w:val="00D6320B"/>
    <w:rsid w:val="00D64599"/>
    <w:rsid w:val="00D64B55"/>
    <w:rsid w:val="00D66151"/>
    <w:rsid w:val="00D664E5"/>
    <w:rsid w:val="00D6767C"/>
    <w:rsid w:val="00D67827"/>
    <w:rsid w:val="00D700A4"/>
    <w:rsid w:val="00D7051B"/>
    <w:rsid w:val="00D7113F"/>
    <w:rsid w:val="00D71D0F"/>
    <w:rsid w:val="00D72FA5"/>
    <w:rsid w:val="00D733E8"/>
    <w:rsid w:val="00D733EC"/>
    <w:rsid w:val="00D73686"/>
    <w:rsid w:val="00D7461D"/>
    <w:rsid w:val="00D74D0B"/>
    <w:rsid w:val="00D775D2"/>
    <w:rsid w:val="00D77738"/>
    <w:rsid w:val="00D802B7"/>
    <w:rsid w:val="00D81187"/>
    <w:rsid w:val="00D8135F"/>
    <w:rsid w:val="00D81716"/>
    <w:rsid w:val="00D81877"/>
    <w:rsid w:val="00D81C55"/>
    <w:rsid w:val="00D83D79"/>
    <w:rsid w:val="00D859B5"/>
    <w:rsid w:val="00D85AB5"/>
    <w:rsid w:val="00D86295"/>
    <w:rsid w:val="00D862F8"/>
    <w:rsid w:val="00D8649C"/>
    <w:rsid w:val="00D878DA"/>
    <w:rsid w:val="00D8793B"/>
    <w:rsid w:val="00D879D1"/>
    <w:rsid w:val="00D91066"/>
    <w:rsid w:val="00D91A7B"/>
    <w:rsid w:val="00D92440"/>
    <w:rsid w:val="00D93CAC"/>
    <w:rsid w:val="00D96558"/>
    <w:rsid w:val="00D967FA"/>
    <w:rsid w:val="00D97AD0"/>
    <w:rsid w:val="00D97F9D"/>
    <w:rsid w:val="00DA0A3E"/>
    <w:rsid w:val="00DA1330"/>
    <w:rsid w:val="00DA1A7E"/>
    <w:rsid w:val="00DA1ADC"/>
    <w:rsid w:val="00DA1BF0"/>
    <w:rsid w:val="00DA3486"/>
    <w:rsid w:val="00DB06C0"/>
    <w:rsid w:val="00DB09D2"/>
    <w:rsid w:val="00DB1C70"/>
    <w:rsid w:val="00DB30B2"/>
    <w:rsid w:val="00DB423A"/>
    <w:rsid w:val="00DB548B"/>
    <w:rsid w:val="00DB5765"/>
    <w:rsid w:val="00DB713F"/>
    <w:rsid w:val="00DC106C"/>
    <w:rsid w:val="00DC2259"/>
    <w:rsid w:val="00DC2C99"/>
    <w:rsid w:val="00DC2D12"/>
    <w:rsid w:val="00DC3718"/>
    <w:rsid w:val="00DC46C9"/>
    <w:rsid w:val="00DC47A4"/>
    <w:rsid w:val="00DC5248"/>
    <w:rsid w:val="00DC5C85"/>
    <w:rsid w:val="00DC67A1"/>
    <w:rsid w:val="00DC6A4D"/>
    <w:rsid w:val="00DD00D8"/>
    <w:rsid w:val="00DD058B"/>
    <w:rsid w:val="00DD08A7"/>
    <w:rsid w:val="00DD2029"/>
    <w:rsid w:val="00DD30B2"/>
    <w:rsid w:val="00DD34EF"/>
    <w:rsid w:val="00DD5825"/>
    <w:rsid w:val="00DD785C"/>
    <w:rsid w:val="00DD7874"/>
    <w:rsid w:val="00DE042F"/>
    <w:rsid w:val="00DE0604"/>
    <w:rsid w:val="00DE12D7"/>
    <w:rsid w:val="00DE196C"/>
    <w:rsid w:val="00DE2EF3"/>
    <w:rsid w:val="00DE617C"/>
    <w:rsid w:val="00DE6C7D"/>
    <w:rsid w:val="00DF2382"/>
    <w:rsid w:val="00DF4349"/>
    <w:rsid w:val="00DF47F2"/>
    <w:rsid w:val="00DF62FA"/>
    <w:rsid w:val="00E0062D"/>
    <w:rsid w:val="00E016DB"/>
    <w:rsid w:val="00E0197C"/>
    <w:rsid w:val="00E0237A"/>
    <w:rsid w:val="00E0254F"/>
    <w:rsid w:val="00E02B10"/>
    <w:rsid w:val="00E04084"/>
    <w:rsid w:val="00E04B3B"/>
    <w:rsid w:val="00E07445"/>
    <w:rsid w:val="00E10DED"/>
    <w:rsid w:val="00E111E4"/>
    <w:rsid w:val="00E11F09"/>
    <w:rsid w:val="00E140BB"/>
    <w:rsid w:val="00E142C1"/>
    <w:rsid w:val="00E14BB9"/>
    <w:rsid w:val="00E14F5A"/>
    <w:rsid w:val="00E15B74"/>
    <w:rsid w:val="00E15BF2"/>
    <w:rsid w:val="00E17157"/>
    <w:rsid w:val="00E17D8F"/>
    <w:rsid w:val="00E2032A"/>
    <w:rsid w:val="00E21DE9"/>
    <w:rsid w:val="00E21F15"/>
    <w:rsid w:val="00E2327B"/>
    <w:rsid w:val="00E24AF7"/>
    <w:rsid w:val="00E2632E"/>
    <w:rsid w:val="00E302D9"/>
    <w:rsid w:val="00E31502"/>
    <w:rsid w:val="00E32462"/>
    <w:rsid w:val="00E33189"/>
    <w:rsid w:val="00E3463F"/>
    <w:rsid w:val="00E34B6C"/>
    <w:rsid w:val="00E361F5"/>
    <w:rsid w:val="00E406E1"/>
    <w:rsid w:val="00E40FE6"/>
    <w:rsid w:val="00E40FE8"/>
    <w:rsid w:val="00E41446"/>
    <w:rsid w:val="00E4193F"/>
    <w:rsid w:val="00E41B0C"/>
    <w:rsid w:val="00E42341"/>
    <w:rsid w:val="00E42867"/>
    <w:rsid w:val="00E42BD0"/>
    <w:rsid w:val="00E42CBB"/>
    <w:rsid w:val="00E43520"/>
    <w:rsid w:val="00E43D61"/>
    <w:rsid w:val="00E43DA6"/>
    <w:rsid w:val="00E44B8A"/>
    <w:rsid w:val="00E46295"/>
    <w:rsid w:val="00E47AC6"/>
    <w:rsid w:val="00E513FC"/>
    <w:rsid w:val="00E516D9"/>
    <w:rsid w:val="00E533B7"/>
    <w:rsid w:val="00E54E2C"/>
    <w:rsid w:val="00E55458"/>
    <w:rsid w:val="00E5716A"/>
    <w:rsid w:val="00E6166A"/>
    <w:rsid w:val="00E64356"/>
    <w:rsid w:val="00E65BE5"/>
    <w:rsid w:val="00E6682E"/>
    <w:rsid w:val="00E67A22"/>
    <w:rsid w:val="00E7044D"/>
    <w:rsid w:val="00E704EA"/>
    <w:rsid w:val="00E70611"/>
    <w:rsid w:val="00E70D37"/>
    <w:rsid w:val="00E713CD"/>
    <w:rsid w:val="00E736FF"/>
    <w:rsid w:val="00E764C3"/>
    <w:rsid w:val="00E765EF"/>
    <w:rsid w:val="00E82D9D"/>
    <w:rsid w:val="00E83C85"/>
    <w:rsid w:val="00E84623"/>
    <w:rsid w:val="00E852A8"/>
    <w:rsid w:val="00E85902"/>
    <w:rsid w:val="00E85CDF"/>
    <w:rsid w:val="00E86896"/>
    <w:rsid w:val="00E872C7"/>
    <w:rsid w:val="00E87808"/>
    <w:rsid w:val="00E8790A"/>
    <w:rsid w:val="00E87CD3"/>
    <w:rsid w:val="00E9064F"/>
    <w:rsid w:val="00E910A9"/>
    <w:rsid w:val="00E91247"/>
    <w:rsid w:val="00E91C68"/>
    <w:rsid w:val="00E92C64"/>
    <w:rsid w:val="00E95222"/>
    <w:rsid w:val="00E95727"/>
    <w:rsid w:val="00E958E8"/>
    <w:rsid w:val="00E96623"/>
    <w:rsid w:val="00E96668"/>
    <w:rsid w:val="00EA0652"/>
    <w:rsid w:val="00EA17E1"/>
    <w:rsid w:val="00EA2DB8"/>
    <w:rsid w:val="00EA5168"/>
    <w:rsid w:val="00EA5DFA"/>
    <w:rsid w:val="00EB1681"/>
    <w:rsid w:val="00EB2CB4"/>
    <w:rsid w:val="00EB3E97"/>
    <w:rsid w:val="00EC26FE"/>
    <w:rsid w:val="00EC3B54"/>
    <w:rsid w:val="00EC412F"/>
    <w:rsid w:val="00EC4979"/>
    <w:rsid w:val="00EC7005"/>
    <w:rsid w:val="00EC7331"/>
    <w:rsid w:val="00EC78FA"/>
    <w:rsid w:val="00ED01AD"/>
    <w:rsid w:val="00ED101D"/>
    <w:rsid w:val="00ED1760"/>
    <w:rsid w:val="00ED2146"/>
    <w:rsid w:val="00ED302F"/>
    <w:rsid w:val="00ED3A4A"/>
    <w:rsid w:val="00ED43BB"/>
    <w:rsid w:val="00ED5710"/>
    <w:rsid w:val="00ED762C"/>
    <w:rsid w:val="00EE28FA"/>
    <w:rsid w:val="00EE5946"/>
    <w:rsid w:val="00EE63FC"/>
    <w:rsid w:val="00EE6849"/>
    <w:rsid w:val="00EF0613"/>
    <w:rsid w:val="00EF2A94"/>
    <w:rsid w:val="00EF52A4"/>
    <w:rsid w:val="00EF5B92"/>
    <w:rsid w:val="00F0078D"/>
    <w:rsid w:val="00F023EE"/>
    <w:rsid w:val="00F04E5C"/>
    <w:rsid w:val="00F0582D"/>
    <w:rsid w:val="00F06F74"/>
    <w:rsid w:val="00F07A2D"/>
    <w:rsid w:val="00F11249"/>
    <w:rsid w:val="00F11F0B"/>
    <w:rsid w:val="00F1265E"/>
    <w:rsid w:val="00F129BB"/>
    <w:rsid w:val="00F13F50"/>
    <w:rsid w:val="00F14A5A"/>
    <w:rsid w:val="00F14C44"/>
    <w:rsid w:val="00F16B52"/>
    <w:rsid w:val="00F17658"/>
    <w:rsid w:val="00F17C0E"/>
    <w:rsid w:val="00F210AC"/>
    <w:rsid w:val="00F21403"/>
    <w:rsid w:val="00F249C2"/>
    <w:rsid w:val="00F253C7"/>
    <w:rsid w:val="00F25FB0"/>
    <w:rsid w:val="00F2733C"/>
    <w:rsid w:val="00F279A4"/>
    <w:rsid w:val="00F3097D"/>
    <w:rsid w:val="00F30C0A"/>
    <w:rsid w:val="00F310D6"/>
    <w:rsid w:val="00F311C7"/>
    <w:rsid w:val="00F35481"/>
    <w:rsid w:val="00F3562D"/>
    <w:rsid w:val="00F3664A"/>
    <w:rsid w:val="00F4209F"/>
    <w:rsid w:val="00F42383"/>
    <w:rsid w:val="00F438B4"/>
    <w:rsid w:val="00F43CC8"/>
    <w:rsid w:val="00F4428C"/>
    <w:rsid w:val="00F4468D"/>
    <w:rsid w:val="00F44B88"/>
    <w:rsid w:val="00F469A1"/>
    <w:rsid w:val="00F47BA8"/>
    <w:rsid w:val="00F50150"/>
    <w:rsid w:val="00F5048C"/>
    <w:rsid w:val="00F52791"/>
    <w:rsid w:val="00F54043"/>
    <w:rsid w:val="00F557C1"/>
    <w:rsid w:val="00F574E8"/>
    <w:rsid w:val="00F577C0"/>
    <w:rsid w:val="00F57A69"/>
    <w:rsid w:val="00F613BC"/>
    <w:rsid w:val="00F62E56"/>
    <w:rsid w:val="00F64C25"/>
    <w:rsid w:val="00F6525F"/>
    <w:rsid w:val="00F6533F"/>
    <w:rsid w:val="00F6669A"/>
    <w:rsid w:val="00F67366"/>
    <w:rsid w:val="00F67D49"/>
    <w:rsid w:val="00F70567"/>
    <w:rsid w:val="00F70C85"/>
    <w:rsid w:val="00F70E3F"/>
    <w:rsid w:val="00F70FC0"/>
    <w:rsid w:val="00F7161F"/>
    <w:rsid w:val="00F718F5"/>
    <w:rsid w:val="00F71B14"/>
    <w:rsid w:val="00F731E5"/>
    <w:rsid w:val="00F7330B"/>
    <w:rsid w:val="00F73509"/>
    <w:rsid w:val="00F73D5D"/>
    <w:rsid w:val="00F763B1"/>
    <w:rsid w:val="00F765D2"/>
    <w:rsid w:val="00F81319"/>
    <w:rsid w:val="00F8194F"/>
    <w:rsid w:val="00F819C2"/>
    <w:rsid w:val="00F824E2"/>
    <w:rsid w:val="00F8574E"/>
    <w:rsid w:val="00F86FF1"/>
    <w:rsid w:val="00F92BB1"/>
    <w:rsid w:val="00F95905"/>
    <w:rsid w:val="00F95957"/>
    <w:rsid w:val="00F95B64"/>
    <w:rsid w:val="00F967F6"/>
    <w:rsid w:val="00FA2A9F"/>
    <w:rsid w:val="00FA2F55"/>
    <w:rsid w:val="00FA4DDD"/>
    <w:rsid w:val="00FA51E7"/>
    <w:rsid w:val="00FB01B5"/>
    <w:rsid w:val="00FB0DA0"/>
    <w:rsid w:val="00FB0DD2"/>
    <w:rsid w:val="00FB2D8A"/>
    <w:rsid w:val="00FB3F04"/>
    <w:rsid w:val="00FB3FF4"/>
    <w:rsid w:val="00FB4BBC"/>
    <w:rsid w:val="00FB6B9B"/>
    <w:rsid w:val="00FC1F1B"/>
    <w:rsid w:val="00FC2FD6"/>
    <w:rsid w:val="00FC3036"/>
    <w:rsid w:val="00FC359B"/>
    <w:rsid w:val="00FC3A86"/>
    <w:rsid w:val="00FC4760"/>
    <w:rsid w:val="00FD2D9B"/>
    <w:rsid w:val="00FD4696"/>
    <w:rsid w:val="00FD5188"/>
    <w:rsid w:val="00FD52DD"/>
    <w:rsid w:val="00FD740F"/>
    <w:rsid w:val="00FE011D"/>
    <w:rsid w:val="00FE0561"/>
    <w:rsid w:val="00FE0974"/>
    <w:rsid w:val="00FE2FAF"/>
    <w:rsid w:val="00FE504D"/>
    <w:rsid w:val="00FE68A6"/>
    <w:rsid w:val="00FE76FD"/>
    <w:rsid w:val="00FF0C6B"/>
    <w:rsid w:val="00FF36D3"/>
    <w:rsid w:val="00FF3D8E"/>
    <w:rsid w:val="00FF4F02"/>
    <w:rsid w:val="01334326"/>
    <w:rsid w:val="01B870A1"/>
    <w:rsid w:val="02855198"/>
    <w:rsid w:val="032B04B4"/>
    <w:rsid w:val="04CE3D21"/>
    <w:rsid w:val="0506170D"/>
    <w:rsid w:val="056F3ED5"/>
    <w:rsid w:val="057A5163"/>
    <w:rsid w:val="05B03557"/>
    <w:rsid w:val="06334F94"/>
    <w:rsid w:val="06C2259A"/>
    <w:rsid w:val="07764365"/>
    <w:rsid w:val="07AE10DC"/>
    <w:rsid w:val="07CC56E3"/>
    <w:rsid w:val="08716E9D"/>
    <w:rsid w:val="09743288"/>
    <w:rsid w:val="0A3D472E"/>
    <w:rsid w:val="0AC9300B"/>
    <w:rsid w:val="0AF132DB"/>
    <w:rsid w:val="0B7E040B"/>
    <w:rsid w:val="0BBD43B9"/>
    <w:rsid w:val="0C764BF9"/>
    <w:rsid w:val="0C7D5AE8"/>
    <w:rsid w:val="0D423001"/>
    <w:rsid w:val="0DBD2146"/>
    <w:rsid w:val="0DFD4BB8"/>
    <w:rsid w:val="0E06277D"/>
    <w:rsid w:val="0FD30707"/>
    <w:rsid w:val="0FE930F8"/>
    <w:rsid w:val="0FFA41D0"/>
    <w:rsid w:val="106B4B92"/>
    <w:rsid w:val="10912834"/>
    <w:rsid w:val="10A6190E"/>
    <w:rsid w:val="10AE1E21"/>
    <w:rsid w:val="12847704"/>
    <w:rsid w:val="12A22DAA"/>
    <w:rsid w:val="133945F9"/>
    <w:rsid w:val="13431A4F"/>
    <w:rsid w:val="134624E6"/>
    <w:rsid w:val="13710EB6"/>
    <w:rsid w:val="14123430"/>
    <w:rsid w:val="14D427FB"/>
    <w:rsid w:val="14D71268"/>
    <w:rsid w:val="151944FB"/>
    <w:rsid w:val="155638ED"/>
    <w:rsid w:val="15594B55"/>
    <w:rsid w:val="15825823"/>
    <w:rsid w:val="159B6ECC"/>
    <w:rsid w:val="15F250B5"/>
    <w:rsid w:val="163B54B6"/>
    <w:rsid w:val="16993C7B"/>
    <w:rsid w:val="16E5036D"/>
    <w:rsid w:val="177D4307"/>
    <w:rsid w:val="17BF1ADD"/>
    <w:rsid w:val="17D434C8"/>
    <w:rsid w:val="180F025E"/>
    <w:rsid w:val="18714A89"/>
    <w:rsid w:val="18BD7D2B"/>
    <w:rsid w:val="1A20352B"/>
    <w:rsid w:val="1A293505"/>
    <w:rsid w:val="1A4D6613"/>
    <w:rsid w:val="1ACA4F21"/>
    <w:rsid w:val="1B194B4F"/>
    <w:rsid w:val="1B81258C"/>
    <w:rsid w:val="1BBB6955"/>
    <w:rsid w:val="1C0B4CED"/>
    <w:rsid w:val="1CE45867"/>
    <w:rsid w:val="1D0758FE"/>
    <w:rsid w:val="1D552DD9"/>
    <w:rsid w:val="1D612365"/>
    <w:rsid w:val="1D6762B9"/>
    <w:rsid w:val="1DA0383E"/>
    <w:rsid w:val="1EC00764"/>
    <w:rsid w:val="1EFA22F3"/>
    <w:rsid w:val="1F6A6C1C"/>
    <w:rsid w:val="1F967DBE"/>
    <w:rsid w:val="1FC22A64"/>
    <w:rsid w:val="1FD60573"/>
    <w:rsid w:val="21325FE2"/>
    <w:rsid w:val="21D10D15"/>
    <w:rsid w:val="228902E7"/>
    <w:rsid w:val="24530344"/>
    <w:rsid w:val="24A34335"/>
    <w:rsid w:val="24E87C1F"/>
    <w:rsid w:val="2514641A"/>
    <w:rsid w:val="25FF61A5"/>
    <w:rsid w:val="262C4D18"/>
    <w:rsid w:val="267F7F87"/>
    <w:rsid w:val="269243E7"/>
    <w:rsid w:val="26C3674A"/>
    <w:rsid w:val="2707220D"/>
    <w:rsid w:val="27791CF6"/>
    <w:rsid w:val="27C33276"/>
    <w:rsid w:val="2960685A"/>
    <w:rsid w:val="29626725"/>
    <w:rsid w:val="2A143B4E"/>
    <w:rsid w:val="2BF57912"/>
    <w:rsid w:val="2C694D08"/>
    <w:rsid w:val="2D0C3C21"/>
    <w:rsid w:val="2D1C656F"/>
    <w:rsid w:val="2D5847AA"/>
    <w:rsid w:val="2DC65177"/>
    <w:rsid w:val="2DE25E72"/>
    <w:rsid w:val="2E542883"/>
    <w:rsid w:val="2EB86D24"/>
    <w:rsid w:val="2F9F1E99"/>
    <w:rsid w:val="30050C01"/>
    <w:rsid w:val="304370DB"/>
    <w:rsid w:val="311F3B5B"/>
    <w:rsid w:val="320847DD"/>
    <w:rsid w:val="320A09D6"/>
    <w:rsid w:val="32CC7A5E"/>
    <w:rsid w:val="32FE7953"/>
    <w:rsid w:val="338A07B4"/>
    <w:rsid w:val="338C2593"/>
    <w:rsid w:val="33B83A6B"/>
    <w:rsid w:val="33F91286"/>
    <w:rsid w:val="34817089"/>
    <w:rsid w:val="34AB3FC5"/>
    <w:rsid w:val="35023129"/>
    <w:rsid w:val="35646F86"/>
    <w:rsid w:val="359F3EDA"/>
    <w:rsid w:val="35F70AEA"/>
    <w:rsid w:val="364C3D1C"/>
    <w:rsid w:val="36AE38A4"/>
    <w:rsid w:val="36CA7953"/>
    <w:rsid w:val="36D502B0"/>
    <w:rsid w:val="3730154B"/>
    <w:rsid w:val="37593B68"/>
    <w:rsid w:val="377C33DF"/>
    <w:rsid w:val="37B072DB"/>
    <w:rsid w:val="37F5385A"/>
    <w:rsid w:val="37F8642C"/>
    <w:rsid w:val="382F25CF"/>
    <w:rsid w:val="39274AC4"/>
    <w:rsid w:val="3AA72FDB"/>
    <w:rsid w:val="3B6D0C9B"/>
    <w:rsid w:val="3B946545"/>
    <w:rsid w:val="3BA25687"/>
    <w:rsid w:val="3C417421"/>
    <w:rsid w:val="3C5A459A"/>
    <w:rsid w:val="3C6C7F8D"/>
    <w:rsid w:val="3C964FD7"/>
    <w:rsid w:val="3CBA7A8C"/>
    <w:rsid w:val="3DA43295"/>
    <w:rsid w:val="3E48150D"/>
    <w:rsid w:val="3E8336C9"/>
    <w:rsid w:val="3EC8270B"/>
    <w:rsid w:val="3F016242"/>
    <w:rsid w:val="3F832849"/>
    <w:rsid w:val="3FAF5B39"/>
    <w:rsid w:val="3FB55FC2"/>
    <w:rsid w:val="403A46DD"/>
    <w:rsid w:val="409C72DA"/>
    <w:rsid w:val="411533F3"/>
    <w:rsid w:val="41307507"/>
    <w:rsid w:val="42AF45C7"/>
    <w:rsid w:val="42EC1BE5"/>
    <w:rsid w:val="42FC1E3E"/>
    <w:rsid w:val="437C1E1E"/>
    <w:rsid w:val="43E377B2"/>
    <w:rsid w:val="443E3BE2"/>
    <w:rsid w:val="4483229D"/>
    <w:rsid w:val="44AA7F43"/>
    <w:rsid w:val="4539547E"/>
    <w:rsid w:val="457E60C5"/>
    <w:rsid w:val="459B6D2C"/>
    <w:rsid w:val="45BE42DE"/>
    <w:rsid w:val="45E408FE"/>
    <w:rsid w:val="46937842"/>
    <w:rsid w:val="469A2946"/>
    <w:rsid w:val="46DE1BF8"/>
    <w:rsid w:val="474634C9"/>
    <w:rsid w:val="47A67F56"/>
    <w:rsid w:val="47BA0E7D"/>
    <w:rsid w:val="48094A0C"/>
    <w:rsid w:val="4B3E43DC"/>
    <w:rsid w:val="4C0A09AC"/>
    <w:rsid w:val="4C7C19D9"/>
    <w:rsid w:val="4C8C4D53"/>
    <w:rsid w:val="4D230685"/>
    <w:rsid w:val="4E342F38"/>
    <w:rsid w:val="4F1836D9"/>
    <w:rsid w:val="4FB03D44"/>
    <w:rsid w:val="50252BC4"/>
    <w:rsid w:val="50432BC3"/>
    <w:rsid w:val="510115D3"/>
    <w:rsid w:val="516B614C"/>
    <w:rsid w:val="524C51FA"/>
    <w:rsid w:val="52553FC0"/>
    <w:rsid w:val="52A631B4"/>
    <w:rsid w:val="52BE4DAC"/>
    <w:rsid w:val="531D5B52"/>
    <w:rsid w:val="54432A67"/>
    <w:rsid w:val="54BE0739"/>
    <w:rsid w:val="551D3643"/>
    <w:rsid w:val="55C929C1"/>
    <w:rsid w:val="55CE0F25"/>
    <w:rsid w:val="5743406D"/>
    <w:rsid w:val="58754FD2"/>
    <w:rsid w:val="58A10ED2"/>
    <w:rsid w:val="590C20D1"/>
    <w:rsid w:val="599C672B"/>
    <w:rsid w:val="59EF15D7"/>
    <w:rsid w:val="5A2E54EE"/>
    <w:rsid w:val="5A3226AA"/>
    <w:rsid w:val="5B266C40"/>
    <w:rsid w:val="5B5043B3"/>
    <w:rsid w:val="5C2614F0"/>
    <w:rsid w:val="5C715372"/>
    <w:rsid w:val="5CA258E5"/>
    <w:rsid w:val="5CB162C8"/>
    <w:rsid w:val="5CC32543"/>
    <w:rsid w:val="5DF112D9"/>
    <w:rsid w:val="5E042564"/>
    <w:rsid w:val="5ED47D3D"/>
    <w:rsid w:val="5F1366BF"/>
    <w:rsid w:val="605163C2"/>
    <w:rsid w:val="60D14305"/>
    <w:rsid w:val="629217E1"/>
    <w:rsid w:val="62966274"/>
    <w:rsid w:val="62AB4D1B"/>
    <w:rsid w:val="63210C43"/>
    <w:rsid w:val="635C2EC9"/>
    <w:rsid w:val="63715D51"/>
    <w:rsid w:val="64047801"/>
    <w:rsid w:val="641D5C18"/>
    <w:rsid w:val="645E2EA8"/>
    <w:rsid w:val="6476179B"/>
    <w:rsid w:val="6510697C"/>
    <w:rsid w:val="65C35C4A"/>
    <w:rsid w:val="65DF07DC"/>
    <w:rsid w:val="65F42C7B"/>
    <w:rsid w:val="661B33AD"/>
    <w:rsid w:val="67FC3283"/>
    <w:rsid w:val="680B005F"/>
    <w:rsid w:val="68BF2482"/>
    <w:rsid w:val="69D63CAD"/>
    <w:rsid w:val="6A432464"/>
    <w:rsid w:val="6A4E246E"/>
    <w:rsid w:val="6AAB6DA1"/>
    <w:rsid w:val="6B39044D"/>
    <w:rsid w:val="6B9504FB"/>
    <w:rsid w:val="6BA514A8"/>
    <w:rsid w:val="6BC9513C"/>
    <w:rsid w:val="6D001A97"/>
    <w:rsid w:val="6E152539"/>
    <w:rsid w:val="6E90137A"/>
    <w:rsid w:val="6F5F4D81"/>
    <w:rsid w:val="6F8F29CD"/>
    <w:rsid w:val="6FB12914"/>
    <w:rsid w:val="6FD56030"/>
    <w:rsid w:val="704C734C"/>
    <w:rsid w:val="70521B20"/>
    <w:rsid w:val="705D67D1"/>
    <w:rsid w:val="70753381"/>
    <w:rsid w:val="70F8393F"/>
    <w:rsid w:val="714F4E19"/>
    <w:rsid w:val="72BC2C46"/>
    <w:rsid w:val="72D72321"/>
    <w:rsid w:val="73E17CFF"/>
    <w:rsid w:val="74975364"/>
    <w:rsid w:val="749E2A1F"/>
    <w:rsid w:val="74F63D21"/>
    <w:rsid w:val="760F58AD"/>
    <w:rsid w:val="763B7627"/>
    <w:rsid w:val="78507148"/>
    <w:rsid w:val="788E5741"/>
    <w:rsid w:val="79D2019E"/>
    <w:rsid w:val="7A0A04FC"/>
    <w:rsid w:val="7A257526"/>
    <w:rsid w:val="7A5426C6"/>
    <w:rsid w:val="7A851726"/>
    <w:rsid w:val="7AA06934"/>
    <w:rsid w:val="7AF051F1"/>
    <w:rsid w:val="7B9D26BC"/>
    <w:rsid w:val="7BBD5101"/>
    <w:rsid w:val="7D2708CA"/>
    <w:rsid w:val="7DF911F8"/>
    <w:rsid w:val="7E755F48"/>
    <w:rsid w:val="7FCB37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nhideWhenUsed="0" w:uiPriority="0" w:semiHidden="0" w:name="heading 5"/>
    <w:lsdException w:qFormat="1" w:unhideWhenUsed="0" w:uiPriority="0" w:semiHidden="0"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qFormat="1" w:unhideWhenUsed="0" w:uiPriority="39" w:semiHidden="0" w:name="toc 2"/>
    <w:lsdException w:qFormat="1" w:unhideWhenUsed="0" w:uiPriority="39" w:semiHidden="0" w:name="toc 3"/>
    <w:lsdException w:uiPriority="39" w:name="toc 4"/>
    <w:lsdException w:uiPriority="39" w:name="toc 5"/>
    <w:lsdException w:qFormat="1" w:unhideWhenUsed="0" w:uiPriority="0" w:semiHidden="0" w:name="toc 6"/>
    <w:lsdException w:uiPriority="39" w:name="toc 7"/>
    <w:lsdException w:uiPriority="39" w:name="toc 8"/>
    <w:lsdException w:uiPriority="39" w:name="toc 9"/>
    <w:lsdException w:qFormat="1" w:unhideWhenUsed="0" w:uiPriority="0" w:semiHidden="0" w:name="Normal Indent"/>
    <w:lsdException w:qFormat="1" w:unhideWhenUsed="0" w:uiPriority="0" w:semiHidden="0" w:name="footnote text"/>
    <w:lsdException w:qFormat="1" w:unhideWhenUsed="0" w:uiPriority="0" w:semiHidden="0" w:name="annotation text"/>
    <w:lsdException w:qFormat="1" w:unhideWhenUsed="0" w:uiPriority="0" w:semiHidden="0" w:name="header"/>
    <w:lsdException w:qFormat="1" w:unhideWhenUsed="0" w:uiPriority="0" w:semiHidden="0" w:name="footer"/>
    <w:lsdException w:uiPriority="99" w:name="index heading"/>
    <w:lsdException w:qFormat="1" w:unhideWhenUsed="0" w:uiPriority="35" w:semiHidden="0" w:name="caption"/>
    <w:lsdException w:uiPriority="99" w:name="table of figures"/>
    <w:lsdException w:uiPriority="99" w:name="envelope address"/>
    <w:lsdException w:uiPriority="99" w:name="envelope return"/>
    <w:lsdException w:qFormat="1" w:unhideWhenUsed="0" w:uiPriority="0" w:semiHidden="0" w:name="footnote reference"/>
    <w:lsdException w:qFormat="1" w:unhideWhenUsed="0" w:uiPriority="0" w:semiHidden="0" w:name="annotation reference"/>
    <w:lsdException w:uiPriority="99" w:name="line number"/>
    <w:lsdException w:qFormat="1" w:unhideWhenUsed="0" w:uiPriority="0" w:semiHidden="0" w:name="page number"/>
    <w:lsdException w:uiPriority="99" w:name="endnote reference"/>
    <w:lsdException w:uiPriority="99" w:name="endnote text"/>
    <w:lsdException w:qFormat="1" w:uiPriority="99" w:semiHidden="0"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nhideWhenUsed="0" w:uiPriority="0" w:semiHidden="0" w:name="Date"/>
    <w:lsdException w:qFormat="1" w:unhideWhenUsed="0" w:uiPriority="0" w:semiHidden="0" w:name="Body Text First Indent"/>
    <w:lsdException w:qFormat="1" w:uiPriority="0" w:semiHidden="0" w:name="Body Text First Indent 2"/>
    <w:lsdException w:uiPriority="99" w:name="Note Heading"/>
    <w:lsdException w:uiPriority="99" w:name="Body Text 2"/>
    <w:lsdException w:uiPriority="99" w:name="Body Text 3"/>
    <w:lsdException w:qFormat="1" w:unhideWhenUsed="0" w:uiPriority="0" w:semiHidden="0" w:name="Body Text Indent 2"/>
    <w:lsdException w:qFormat="1" w:unhideWhenUsed="0" w:uiPriority="0" w:semiHidden="0" w:name="Body Text Indent 3"/>
    <w:lsdException w:qFormat="1" w:unhideWhenUsed="0" w:uiPriority="99" w:semiHidden="0" w:name="Block Text"/>
    <w:lsdException w:qFormat="1" w:unhideWhenUsed="0" w:uiPriority="99" w:semiHidden="0" w:name="Hyperlink"/>
    <w:lsdException w:uiPriority="99" w:name="FollowedHyperlink"/>
    <w:lsdException w:qFormat="1" w:unhideWhenUsed="0" w:uiPriority="0" w:semiHidden="0" w:name="Strong"/>
    <w:lsdException w:qFormat="1" w:unhideWhenUsed="0" w:uiPriority="20" w:semiHidden="0" w:name="Emphasis"/>
    <w:lsdException w:qFormat="1" w:unhideWhenUsed="0" w:uiPriority="0" w:semiHidden="0" w:name="Document Map"/>
    <w:lsdException w:qFormat="1" w:unhideWhenUsed="0" w:uiPriority="0"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0"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43"/>
    <w:qFormat/>
    <w:uiPriority w:val="0"/>
    <w:pPr>
      <w:keepNext/>
      <w:jc w:val="center"/>
      <w:outlineLvl w:val="0"/>
    </w:pPr>
    <w:rPr>
      <w:rFonts w:ascii="楷体_GB2312" w:eastAsia="楷体_GB2312"/>
      <w:b/>
      <w:bCs/>
    </w:rPr>
  </w:style>
  <w:style w:type="paragraph" w:styleId="5">
    <w:name w:val="heading 2"/>
    <w:basedOn w:val="1"/>
    <w:next w:val="1"/>
    <w:link w:val="44"/>
    <w:qFormat/>
    <w:uiPriority w:val="0"/>
    <w:pPr>
      <w:keepNext/>
      <w:keepLines/>
      <w:adjustRightInd w:val="0"/>
      <w:spacing w:before="260" w:after="260" w:line="416" w:lineRule="atLeast"/>
      <w:jc w:val="left"/>
      <w:textAlignment w:val="baseline"/>
      <w:outlineLvl w:val="1"/>
    </w:pPr>
    <w:rPr>
      <w:rFonts w:ascii="Arial" w:hAnsi="Arial" w:eastAsia="黑体"/>
      <w:b/>
      <w:bCs/>
      <w:kern w:val="0"/>
      <w:sz w:val="32"/>
      <w:szCs w:val="32"/>
    </w:rPr>
  </w:style>
  <w:style w:type="paragraph" w:styleId="6">
    <w:name w:val="heading 3"/>
    <w:basedOn w:val="1"/>
    <w:next w:val="1"/>
    <w:link w:val="45"/>
    <w:qFormat/>
    <w:uiPriority w:val="0"/>
    <w:pPr>
      <w:keepNext/>
      <w:keepLines/>
      <w:spacing w:before="260" w:after="260" w:line="416" w:lineRule="auto"/>
      <w:outlineLvl w:val="2"/>
    </w:pPr>
    <w:rPr>
      <w:b/>
      <w:bCs/>
      <w:sz w:val="32"/>
      <w:szCs w:val="32"/>
    </w:rPr>
  </w:style>
  <w:style w:type="paragraph" w:styleId="7">
    <w:name w:val="heading 4"/>
    <w:basedOn w:val="1"/>
    <w:next w:val="1"/>
    <w:link w:val="46"/>
    <w:qFormat/>
    <w:uiPriority w:val="0"/>
    <w:pPr>
      <w:keepNext/>
      <w:keepLines/>
      <w:spacing w:before="280" w:after="290" w:line="376" w:lineRule="auto"/>
      <w:outlineLvl w:val="3"/>
    </w:pPr>
    <w:rPr>
      <w:rFonts w:ascii="Cambria" w:hAnsi="Cambria"/>
      <w:b/>
      <w:bCs/>
      <w:sz w:val="28"/>
      <w:szCs w:val="28"/>
    </w:rPr>
  </w:style>
  <w:style w:type="paragraph" w:styleId="8">
    <w:name w:val="heading 5"/>
    <w:basedOn w:val="1"/>
    <w:next w:val="9"/>
    <w:link w:val="47"/>
    <w:qFormat/>
    <w:uiPriority w:val="0"/>
    <w:pPr>
      <w:keepNext/>
      <w:keepLines/>
      <w:tabs>
        <w:tab w:val="left" w:pos="1008"/>
      </w:tabs>
      <w:spacing w:before="280" w:after="290" w:line="376" w:lineRule="auto"/>
      <w:ind w:left="1008" w:hanging="1008"/>
      <w:outlineLvl w:val="4"/>
    </w:pPr>
    <w:rPr>
      <w:b/>
      <w:bCs/>
      <w:sz w:val="28"/>
      <w:szCs w:val="28"/>
      <w:lang w:val="zh-CN"/>
    </w:rPr>
  </w:style>
  <w:style w:type="paragraph" w:styleId="11">
    <w:name w:val="heading 6"/>
    <w:basedOn w:val="1"/>
    <w:next w:val="1"/>
    <w:qFormat/>
    <w:uiPriority w:val="0"/>
    <w:pPr>
      <w:keepNext/>
      <w:keepLines/>
      <w:spacing w:before="240" w:after="64" w:line="320" w:lineRule="auto"/>
      <w:outlineLvl w:val="5"/>
    </w:pPr>
    <w:rPr>
      <w:rFonts w:ascii="Arial" w:hAnsi="Arial" w:eastAsia="黑体"/>
      <w:b/>
      <w:bCs/>
      <w:sz w:val="24"/>
    </w:rPr>
  </w:style>
  <w:style w:type="character" w:default="1" w:styleId="37">
    <w:name w:val="Default Paragraph Font"/>
    <w:semiHidden/>
    <w:unhideWhenUsed/>
    <w:qFormat/>
    <w:uiPriority w:val="1"/>
  </w:style>
  <w:style w:type="table" w:default="1" w:styleId="35">
    <w:name w:val="Normal Table"/>
    <w:semiHidden/>
    <w:unhideWhenUsed/>
    <w:qFormat/>
    <w:uiPriority w:val="99"/>
    <w:tblPr>
      <w:tblCellMar>
        <w:top w:w="0" w:type="dxa"/>
        <w:left w:w="108" w:type="dxa"/>
        <w:bottom w:w="0" w:type="dxa"/>
        <w:right w:w="108" w:type="dxa"/>
      </w:tblCellMar>
    </w:tblPr>
  </w:style>
  <w:style w:type="paragraph" w:customStyle="1" w:styleId="2">
    <w:name w:val="BodyText1I2"/>
    <w:basedOn w:val="3"/>
    <w:qFormat/>
    <w:uiPriority w:val="0"/>
    <w:pPr>
      <w:ind w:firstLine="420" w:firstLineChars="200"/>
    </w:pPr>
    <w:rPr>
      <w:rFonts w:ascii="Times New Roman" w:hAnsi="Times New Roman" w:eastAsia="宋体" w:cs="Times New Roman"/>
    </w:rPr>
  </w:style>
  <w:style w:type="paragraph" w:styleId="3">
    <w:name w:val="Body Text Indent"/>
    <w:basedOn w:val="1"/>
    <w:next w:val="1"/>
    <w:qFormat/>
    <w:uiPriority w:val="0"/>
    <w:pPr>
      <w:ind w:left="480" w:hanging="480" w:hangingChars="200"/>
    </w:pPr>
    <w:rPr>
      <w:sz w:val="24"/>
    </w:rPr>
  </w:style>
  <w:style w:type="paragraph" w:customStyle="1" w:styleId="9">
    <w:name w:val="样式 正文缩进 + 首行缩进:  2 字符"/>
    <w:basedOn w:val="10"/>
    <w:link w:val="49"/>
    <w:qFormat/>
    <w:uiPriority w:val="0"/>
    <w:pPr>
      <w:adjustRightInd/>
      <w:spacing w:line="360" w:lineRule="auto"/>
      <w:ind w:firstLine="200" w:firstLineChars="200"/>
      <w:textAlignment w:val="auto"/>
    </w:pPr>
    <w:rPr>
      <w:kern w:val="2"/>
      <w:sz w:val="24"/>
      <w:lang w:val="zh-CN"/>
    </w:rPr>
  </w:style>
  <w:style w:type="paragraph" w:styleId="10">
    <w:name w:val="Normal Indent"/>
    <w:basedOn w:val="1"/>
    <w:next w:val="1"/>
    <w:link w:val="48"/>
    <w:qFormat/>
    <w:uiPriority w:val="0"/>
    <w:pPr>
      <w:adjustRightInd w:val="0"/>
      <w:spacing w:line="312" w:lineRule="atLeast"/>
      <w:ind w:firstLine="420"/>
      <w:textAlignment w:val="baseline"/>
    </w:pPr>
    <w:rPr>
      <w:kern w:val="0"/>
      <w:szCs w:val="20"/>
    </w:rPr>
  </w:style>
  <w:style w:type="paragraph" w:styleId="12">
    <w:name w:val="table of authorities"/>
    <w:basedOn w:val="1"/>
    <w:next w:val="1"/>
    <w:unhideWhenUsed/>
    <w:qFormat/>
    <w:uiPriority w:val="99"/>
    <w:pPr>
      <w:ind w:left="420" w:leftChars="200"/>
    </w:pPr>
  </w:style>
  <w:style w:type="paragraph" w:styleId="13">
    <w:name w:val="caption"/>
    <w:basedOn w:val="1"/>
    <w:next w:val="1"/>
    <w:qFormat/>
    <w:uiPriority w:val="35"/>
    <w:pPr>
      <w:widowControl/>
      <w:spacing w:after="120" w:line="360" w:lineRule="auto"/>
      <w:jc w:val="center"/>
    </w:pPr>
    <w:rPr>
      <w:rFonts w:eastAsia="黑体"/>
      <w:spacing w:val="10"/>
      <w:kern w:val="0"/>
      <w:sz w:val="24"/>
      <w:szCs w:val="20"/>
    </w:rPr>
  </w:style>
  <w:style w:type="paragraph" w:styleId="14">
    <w:name w:val="Document Map"/>
    <w:basedOn w:val="1"/>
    <w:qFormat/>
    <w:uiPriority w:val="0"/>
    <w:pPr>
      <w:shd w:val="clear" w:color="auto" w:fill="000080"/>
    </w:pPr>
  </w:style>
  <w:style w:type="paragraph" w:styleId="15">
    <w:name w:val="annotation text"/>
    <w:basedOn w:val="1"/>
    <w:qFormat/>
    <w:uiPriority w:val="0"/>
    <w:pPr>
      <w:jc w:val="left"/>
    </w:pPr>
  </w:style>
  <w:style w:type="paragraph" w:styleId="16">
    <w:name w:val="Body Text"/>
    <w:basedOn w:val="1"/>
    <w:next w:val="17"/>
    <w:link w:val="50"/>
    <w:qFormat/>
    <w:uiPriority w:val="0"/>
    <w:pPr>
      <w:spacing w:after="120"/>
    </w:pPr>
  </w:style>
  <w:style w:type="paragraph" w:styleId="17">
    <w:name w:val="Body Text First Indent"/>
    <w:basedOn w:val="16"/>
    <w:link w:val="51"/>
    <w:qFormat/>
    <w:uiPriority w:val="0"/>
    <w:pPr>
      <w:ind w:firstLine="420" w:firstLineChars="100"/>
    </w:pPr>
  </w:style>
  <w:style w:type="paragraph" w:styleId="18">
    <w:name w:val="Block Text"/>
    <w:basedOn w:val="1"/>
    <w:qFormat/>
    <w:uiPriority w:val="99"/>
    <w:pPr>
      <w:adjustRightInd w:val="0"/>
      <w:spacing w:line="360" w:lineRule="atLeast"/>
      <w:ind w:left="1260" w:leftChars="525" w:right="22" w:rightChars="9" w:firstLine="200" w:firstLineChars="200"/>
      <w:jc w:val="left"/>
      <w:textAlignment w:val="baseline"/>
    </w:pPr>
    <w:rPr>
      <w:rFonts w:ascii="DFKai-SB" w:hAnsi="DFKai-SB" w:eastAsia="DFKai-SB" w:cs="DFKai-SB"/>
      <w:kern w:val="0"/>
      <w:sz w:val="28"/>
      <w:szCs w:val="28"/>
      <w:lang w:eastAsia="zh-TW"/>
    </w:rPr>
  </w:style>
  <w:style w:type="paragraph" w:styleId="19">
    <w:name w:val="toc 3"/>
    <w:basedOn w:val="1"/>
    <w:next w:val="1"/>
    <w:qFormat/>
    <w:uiPriority w:val="39"/>
    <w:pPr>
      <w:ind w:left="840" w:leftChars="400"/>
    </w:pPr>
  </w:style>
  <w:style w:type="paragraph" w:styleId="20">
    <w:name w:val="Plain Text"/>
    <w:basedOn w:val="1"/>
    <w:next w:val="21"/>
    <w:link w:val="52"/>
    <w:qFormat/>
    <w:uiPriority w:val="0"/>
    <w:pPr>
      <w:widowControl/>
      <w:overflowPunct w:val="0"/>
      <w:autoSpaceDE w:val="0"/>
      <w:autoSpaceDN w:val="0"/>
      <w:adjustRightInd w:val="0"/>
      <w:jc w:val="left"/>
      <w:textAlignment w:val="baseline"/>
    </w:pPr>
    <w:rPr>
      <w:rFonts w:ascii="宋体" w:hAnsi="Courier New"/>
      <w:kern w:val="0"/>
      <w:szCs w:val="21"/>
    </w:rPr>
  </w:style>
  <w:style w:type="paragraph" w:styleId="21">
    <w:name w:val="toc 2"/>
    <w:basedOn w:val="1"/>
    <w:next w:val="1"/>
    <w:qFormat/>
    <w:uiPriority w:val="39"/>
    <w:pPr>
      <w:ind w:left="420" w:leftChars="200"/>
    </w:pPr>
  </w:style>
  <w:style w:type="paragraph" w:styleId="22">
    <w:name w:val="Date"/>
    <w:basedOn w:val="1"/>
    <w:next w:val="1"/>
    <w:qFormat/>
    <w:uiPriority w:val="0"/>
    <w:pPr>
      <w:ind w:left="100" w:leftChars="2500"/>
    </w:pPr>
  </w:style>
  <w:style w:type="paragraph" w:styleId="23">
    <w:name w:val="Body Text Indent 2"/>
    <w:basedOn w:val="1"/>
    <w:qFormat/>
    <w:uiPriority w:val="0"/>
    <w:pPr>
      <w:spacing w:line="500" w:lineRule="exact"/>
      <w:ind w:firstLine="511" w:firstLineChars="213"/>
    </w:pPr>
    <w:rPr>
      <w:sz w:val="24"/>
    </w:rPr>
  </w:style>
  <w:style w:type="paragraph" w:styleId="24">
    <w:name w:val="Balloon Text"/>
    <w:basedOn w:val="1"/>
    <w:qFormat/>
    <w:uiPriority w:val="0"/>
    <w:rPr>
      <w:sz w:val="18"/>
      <w:szCs w:val="18"/>
    </w:rPr>
  </w:style>
  <w:style w:type="paragraph" w:styleId="25">
    <w:name w:val="footer"/>
    <w:basedOn w:val="1"/>
    <w:link w:val="53"/>
    <w:qFormat/>
    <w:uiPriority w:val="0"/>
    <w:pPr>
      <w:tabs>
        <w:tab w:val="center" w:pos="4153"/>
        <w:tab w:val="right" w:pos="8306"/>
      </w:tabs>
      <w:snapToGrid w:val="0"/>
      <w:jc w:val="left"/>
    </w:pPr>
    <w:rPr>
      <w:sz w:val="18"/>
      <w:szCs w:val="18"/>
    </w:rPr>
  </w:style>
  <w:style w:type="paragraph" w:styleId="26">
    <w:name w:val="header"/>
    <w:basedOn w:val="1"/>
    <w:qFormat/>
    <w:uiPriority w:val="0"/>
    <w:pPr>
      <w:pBdr>
        <w:bottom w:val="single" w:color="auto" w:sz="6" w:space="1"/>
      </w:pBdr>
      <w:tabs>
        <w:tab w:val="center" w:pos="4153"/>
        <w:tab w:val="right" w:pos="8306"/>
      </w:tabs>
      <w:snapToGrid w:val="0"/>
      <w:jc w:val="center"/>
    </w:pPr>
    <w:rPr>
      <w:sz w:val="18"/>
      <w:szCs w:val="18"/>
    </w:rPr>
  </w:style>
  <w:style w:type="paragraph" w:styleId="27">
    <w:name w:val="toc 1"/>
    <w:basedOn w:val="1"/>
    <w:next w:val="1"/>
    <w:qFormat/>
    <w:uiPriority w:val="39"/>
    <w:pPr>
      <w:tabs>
        <w:tab w:val="right" w:leader="dot" w:pos="9628"/>
      </w:tabs>
      <w:spacing w:line="480" w:lineRule="auto"/>
    </w:pPr>
    <w:rPr>
      <w:rFonts w:ascii="Arial" w:hAnsi="Arial" w:eastAsia="新宋体" w:cs="Arial"/>
      <w:bCs/>
      <w:sz w:val="24"/>
    </w:rPr>
  </w:style>
  <w:style w:type="paragraph" w:styleId="28">
    <w:name w:val="footnote text"/>
    <w:basedOn w:val="1"/>
    <w:qFormat/>
    <w:uiPriority w:val="0"/>
    <w:pPr>
      <w:widowControl/>
      <w:snapToGrid w:val="0"/>
      <w:spacing w:after="200" w:line="276" w:lineRule="auto"/>
      <w:jc w:val="left"/>
    </w:pPr>
    <w:rPr>
      <w:rFonts w:ascii="Cambria" w:hAnsi="Cambria"/>
      <w:kern w:val="0"/>
      <w:sz w:val="18"/>
      <w:szCs w:val="18"/>
    </w:rPr>
  </w:style>
  <w:style w:type="paragraph" w:styleId="29">
    <w:name w:val="toc 6"/>
    <w:basedOn w:val="1"/>
    <w:next w:val="1"/>
    <w:qFormat/>
    <w:uiPriority w:val="0"/>
    <w:pPr>
      <w:ind w:left="840"/>
      <w:jc w:val="left"/>
    </w:pPr>
    <w:rPr>
      <w:sz w:val="20"/>
    </w:rPr>
  </w:style>
  <w:style w:type="paragraph" w:styleId="30">
    <w:name w:val="Body Text Indent 3"/>
    <w:basedOn w:val="1"/>
    <w:qFormat/>
    <w:uiPriority w:val="0"/>
    <w:pPr>
      <w:spacing w:line="500" w:lineRule="exact"/>
      <w:ind w:left="511" w:hanging="511" w:hangingChars="213"/>
    </w:pPr>
    <w:rPr>
      <w:sz w:val="24"/>
    </w:rPr>
  </w:style>
  <w:style w:type="paragraph" w:styleId="31">
    <w:name w:val="Normal (Web)"/>
    <w:basedOn w:val="1"/>
    <w:qFormat/>
    <w:uiPriority w:val="99"/>
    <w:pPr>
      <w:widowControl/>
      <w:spacing w:before="100" w:beforeAutospacing="1" w:after="100" w:afterAutospacing="1"/>
      <w:jc w:val="left"/>
    </w:pPr>
    <w:rPr>
      <w:rFonts w:ascii="宋体" w:hAnsi="宋体" w:cs="宋体"/>
      <w:kern w:val="0"/>
      <w:sz w:val="24"/>
    </w:rPr>
  </w:style>
  <w:style w:type="paragraph" w:styleId="32">
    <w:name w:val="annotation subject"/>
    <w:basedOn w:val="15"/>
    <w:next w:val="15"/>
    <w:qFormat/>
    <w:uiPriority w:val="0"/>
    <w:rPr>
      <w:b/>
      <w:bCs/>
    </w:rPr>
  </w:style>
  <w:style w:type="paragraph" w:styleId="33">
    <w:name w:val="Body Text First Indent 2"/>
    <w:basedOn w:val="3"/>
    <w:next w:val="34"/>
    <w:unhideWhenUsed/>
    <w:qFormat/>
    <w:uiPriority w:val="0"/>
    <w:pPr>
      <w:ind w:firstLine="420" w:firstLineChars="200"/>
    </w:pPr>
  </w:style>
  <w:style w:type="paragraph" w:customStyle="1" w:styleId="34">
    <w:name w:val="xl53"/>
    <w:basedOn w:val="1"/>
    <w:next w:val="1"/>
    <w:qFormat/>
    <w:uiPriority w:val="0"/>
    <w:pPr>
      <w:widowControl/>
      <w:pBdr>
        <w:top w:val="single" w:color="auto" w:sz="4" w:space="0"/>
        <w:left w:val="single" w:color="auto" w:sz="8" w:space="0"/>
        <w:bottom w:val="single" w:color="auto" w:sz="8" w:space="0"/>
        <w:right w:val="single" w:color="auto" w:sz="4" w:space="0"/>
      </w:pBdr>
      <w:spacing w:before="100" w:beforeAutospacing="1" w:after="100" w:afterAutospacing="1" w:line="100" w:lineRule="exact"/>
      <w:jc w:val="center"/>
    </w:pPr>
    <w:rPr>
      <w:rFonts w:ascii="宋体" w:hAnsi="宋体"/>
      <w:b/>
      <w:bCs/>
      <w:kern w:val="0"/>
      <w:sz w:val="20"/>
      <w:szCs w:val="20"/>
    </w:rPr>
  </w:style>
  <w:style w:type="table" w:styleId="36">
    <w:name w:val="Table Grid"/>
    <w:basedOn w:val="35"/>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8">
    <w:name w:val="Strong"/>
    <w:qFormat/>
    <w:uiPriority w:val="0"/>
    <w:rPr>
      <w:rFonts w:ascii="Times New Roman" w:hAnsi="Times New Roman" w:eastAsia="宋体" w:cs="Times New Roman"/>
      <w:b/>
      <w:bCs/>
    </w:rPr>
  </w:style>
  <w:style w:type="character" w:styleId="39">
    <w:name w:val="page number"/>
    <w:qFormat/>
    <w:uiPriority w:val="0"/>
    <w:rPr>
      <w:rFonts w:ascii="Times New Roman" w:hAnsi="Times New Roman" w:eastAsia="宋体" w:cs="Times New Roman"/>
    </w:rPr>
  </w:style>
  <w:style w:type="character" w:styleId="40">
    <w:name w:val="Hyperlink"/>
    <w:qFormat/>
    <w:uiPriority w:val="99"/>
    <w:rPr>
      <w:rFonts w:ascii="Times New Roman" w:hAnsi="Times New Roman" w:eastAsia="宋体" w:cs="Times New Roman"/>
      <w:color w:val="000000"/>
      <w:sz w:val="20"/>
      <w:szCs w:val="20"/>
      <w:u w:val="none"/>
    </w:rPr>
  </w:style>
  <w:style w:type="character" w:styleId="41">
    <w:name w:val="annotation reference"/>
    <w:qFormat/>
    <w:uiPriority w:val="0"/>
    <w:rPr>
      <w:rFonts w:ascii="Times New Roman" w:hAnsi="Times New Roman" w:eastAsia="宋体" w:cs="Times New Roman"/>
      <w:sz w:val="21"/>
      <w:szCs w:val="21"/>
    </w:rPr>
  </w:style>
  <w:style w:type="character" w:styleId="42">
    <w:name w:val="footnote reference"/>
    <w:qFormat/>
    <w:uiPriority w:val="0"/>
    <w:rPr>
      <w:vertAlign w:val="superscript"/>
    </w:rPr>
  </w:style>
  <w:style w:type="character" w:customStyle="1" w:styleId="43">
    <w:name w:val="标题 1 字符"/>
    <w:link w:val="4"/>
    <w:qFormat/>
    <w:locked/>
    <w:uiPriority w:val="0"/>
    <w:rPr>
      <w:rFonts w:ascii="楷体_GB2312" w:eastAsia="楷体_GB2312"/>
      <w:b/>
      <w:bCs/>
      <w:kern w:val="2"/>
      <w:sz w:val="21"/>
      <w:szCs w:val="24"/>
    </w:rPr>
  </w:style>
  <w:style w:type="character" w:customStyle="1" w:styleId="44">
    <w:name w:val="标题 2 字符"/>
    <w:link w:val="5"/>
    <w:qFormat/>
    <w:uiPriority w:val="0"/>
    <w:rPr>
      <w:rFonts w:ascii="Arial" w:hAnsi="Arial" w:eastAsia="黑体" w:cs="Times New Roman"/>
      <w:b/>
      <w:bCs/>
      <w:sz w:val="32"/>
      <w:szCs w:val="32"/>
    </w:rPr>
  </w:style>
  <w:style w:type="character" w:customStyle="1" w:styleId="45">
    <w:name w:val="标题 3 字符"/>
    <w:link w:val="6"/>
    <w:qFormat/>
    <w:uiPriority w:val="0"/>
    <w:rPr>
      <w:rFonts w:ascii="Times New Roman" w:hAnsi="Times New Roman" w:eastAsia="宋体" w:cs="Times New Roman"/>
      <w:b/>
      <w:bCs/>
      <w:kern w:val="2"/>
      <w:sz w:val="32"/>
      <w:szCs w:val="32"/>
      <w:lang w:bidi="ar-SA"/>
    </w:rPr>
  </w:style>
  <w:style w:type="character" w:customStyle="1" w:styleId="46">
    <w:name w:val="标题 4 字符"/>
    <w:link w:val="7"/>
    <w:qFormat/>
    <w:uiPriority w:val="0"/>
    <w:rPr>
      <w:rFonts w:ascii="Cambria" w:hAnsi="Cambria" w:eastAsia="宋体" w:cs="Times New Roman"/>
      <w:b/>
      <w:bCs/>
      <w:kern w:val="2"/>
      <w:sz w:val="28"/>
      <w:szCs w:val="28"/>
      <w:lang w:bidi="ar-SA"/>
    </w:rPr>
  </w:style>
  <w:style w:type="character" w:customStyle="1" w:styleId="47">
    <w:name w:val="标题 5 字符"/>
    <w:link w:val="8"/>
    <w:qFormat/>
    <w:uiPriority w:val="0"/>
    <w:rPr>
      <w:rFonts w:ascii="Times New Roman" w:hAnsi="Times New Roman" w:eastAsia="宋体" w:cs="Times New Roman"/>
      <w:b/>
      <w:bCs/>
      <w:kern w:val="2"/>
      <w:sz w:val="28"/>
      <w:szCs w:val="28"/>
      <w:lang w:val="zh-CN"/>
    </w:rPr>
  </w:style>
  <w:style w:type="character" w:customStyle="1" w:styleId="48">
    <w:name w:val="正文缩进 字符1"/>
    <w:link w:val="10"/>
    <w:qFormat/>
    <w:uiPriority w:val="0"/>
    <w:rPr>
      <w:rFonts w:ascii="Times New Roman" w:hAnsi="Times New Roman" w:eastAsia="宋体" w:cs="Times New Roman"/>
      <w:sz w:val="21"/>
      <w:lang w:val="en-US" w:eastAsia="zh-CN" w:bidi="ar-SA"/>
    </w:rPr>
  </w:style>
  <w:style w:type="character" w:customStyle="1" w:styleId="49">
    <w:name w:val="样式 正文缩进 + 首行缩进:  2 字符 Char"/>
    <w:link w:val="9"/>
    <w:qFormat/>
    <w:uiPriority w:val="0"/>
    <w:rPr>
      <w:kern w:val="2"/>
      <w:sz w:val="24"/>
      <w:lang w:val="zh-CN"/>
    </w:rPr>
  </w:style>
  <w:style w:type="character" w:customStyle="1" w:styleId="50">
    <w:name w:val="正文文本 字符"/>
    <w:link w:val="16"/>
    <w:qFormat/>
    <w:uiPriority w:val="0"/>
    <w:rPr>
      <w:rFonts w:ascii="Times New Roman" w:hAnsi="Times New Roman" w:eastAsia="宋体" w:cs="Times New Roman"/>
      <w:kern w:val="2"/>
      <w:sz w:val="21"/>
      <w:szCs w:val="24"/>
    </w:rPr>
  </w:style>
  <w:style w:type="character" w:customStyle="1" w:styleId="51">
    <w:name w:val="正文文本首行缩进 字符"/>
    <w:link w:val="17"/>
    <w:qFormat/>
    <w:uiPriority w:val="0"/>
    <w:rPr>
      <w:rFonts w:ascii="Times New Roman" w:hAnsi="Times New Roman" w:eastAsia="宋体" w:cs="Times New Roman"/>
      <w:kern w:val="2"/>
      <w:sz w:val="21"/>
      <w:szCs w:val="24"/>
    </w:rPr>
  </w:style>
  <w:style w:type="character" w:customStyle="1" w:styleId="52">
    <w:name w:val="纯文本 字符"/>
    <w:link w:val="20"/>
    <w:qFormat/>
    <w:uiPriority w:val="0"/>
    <w:rPr>
      <w:rFonts w:ascii="宋体" w:hAnsi="Courier New" w:eastAsia="宋体" w:cs="Times New Roman"/>
      <w:sz w:val="21"/>
      <w:szCs w:val="21"/>
      <w:lang w:val="en-US" w:eastAsia="zh-CN" w:bidi="ar-SA"/>
    </w:rPr>
  </w:style>
  <w:style w:type="character" w:customStyle="1" w:styleId="53">
    <w:name w:val="页脚 字符"/>
    <w:link w:val="25"/>
    <w:qFormat/>
    <w:uiPriority w:val="0"/>
    <w:rPr>
      <w:rFonts w:ascii="Times New Roman" w:hAnsi="Times New Roman" w:eastAsia="宋体" w:cs="Times New Roman"/>
      <w:kern w:val="2"/>
      <w:sz w:val="18"/>
      <w:szCs w:val="18"/>
    </w:rPr>
  </w:style>
  <w:style w:type="character" w:customStyle="1" w:styleId="54">
    <w:name w:val="列表段落 字符1"/>
    <w:link w:val="55"/>
    <w:qFormat/>
    <w:uiPriority w:val="0"/>
    <w:rPr>
      <w:rFonts w:ascii="Times New Roman" w:hAnsi="Times New Roman" w:eastAsia="宋体" w:cs="Times New Roman"/>
      <w:kern w:val="2"/>
      <w:sz w:val="21"/>
      <w:szCs w:val="24"/>
    </w:rPr>
  </w:style>
  <w:style w:type="paragraph" w:styleId="55">
    <w:name w:val="List Paragraph"/>
    <w:basedOn w:val="1"/>
    <w:link w:val="54"/>
    <w:qFormat/>
    <w:uiPriority w:val="0"/>
    <w:pPr>
      <w:ind w:firstLine="420" w:firstLineChars="200"/>
    </w:pPr>
  </w:style>
  <w:style w:type="character" w:customStyle="1" w:styleId="56">
    <w:name w:val="style21"/>
    <w:qFormat/>
    <w:uiPriority w:val="0"/>
    <w:rPr>
      <w:rFonts w:ascii="Times New Roman" w:hAnsi="Times New Roman" w:eastAsia="宋体" w:cs="Times New Roman"/>
      <w:sz w:val="15"/>
      <w:szCs w:val="15"/>
    </w:rPr>
  </w:style>
  <w:style w:type="character" w:customStyle="1" w:styleId="57">
    <w:name w:val="纯文本 Char2"/>
    <w:qFormat/>
    <w:uiPriority w:val="0"/>
    <w:rPr>
      <w:rFonts w:ascii="宋体,Verdana,Arial" w:hAnsi="Tahoma" w:eastAsia="宋体,Verdana,Arial" w:cs="Times New Roman"/>
      <w:sz w:val="21"/>
      <w:szCs w:val="21"/>
      <w:lang w:val="en-US" w:eastAsia="zh-CN" w:bidi="ar-SA"/>
    </w:rPr>
  </w:style>
  <w:style w:type="character" w:customStyle="1" w:styleId="58">
    <w:name w:val="样式6 列表并列 Char"/>
    <w:link w:val="59"/>
    <w:qFormat/>
    <w:uiPriority w:val="0"/>
    <w:rPr>
      <w:rFonts w:ascii="Arial" w:hAnsi="Arial"/>
      <w:kern w:val="21"/>
      <w:sz w:val="21"/>
      <w:szCs w:val="24"/>
      <w:lang w:val="en-US" w:eastAsia="zh-CN" w:bidi="ar-SA"/>
    </w:rPr>
  </w:style>
  <w:style w:type="paragraph" w:customStyle="1" w:styleId="59">
    <w:name w:val="样式6 列表并列"/>
    <w:link w:val="58"/>
    <w:qFormat/>
    <w:uiPriority w:val="0"/>
    <w:pPr>
      <w:widowControl w:val="0"/>
      <w:numPr>
        <w:ilvl w:val="0"/>
        <w:numId w:val="1"/>
      </w:numPr>
      <w:spacing w:before="40" w:after="40" w:line="240" w:lineRule="atLeast"/>
      <w:ind w:left="840" w:hanging="420"/>
    </w:pPr>
    <w:rPr>
      <w:rFonts w:ascii="Arial" w:hAnsi="Arial" w:eastAsia="宋体" w:cs="Times New Roman"/>
      <w:kern w:val="21"/>
      <w:sz w:val="21"/>
      <w:szCs w:val="24"/>
      <w:lang w:val="en-US" w:eastAsia="zh-CN" w:bidi="ar-SA"/>
    </w:rPr>
  </w:style>
  <w:style w:type="character" w:customStyle="1" w:styleId="60">
    <w:name w:val="List Paragraph Char"/>
    <w:link w:val="61"/>
    <w:qFormat/>
    <w:uiPriority w:val="0"/>
    <w:rPr>
      <w:rFonts w:ascii="Calibri" w:hAnsi="Calibri" w:eastAsia="宋体" w:cs="Times New Roman"/>
      <w:kern w:val="2"/>
      <w:sz w:val="21"/>
      <w:szCs w:val="22"/>
      <w:lang w:val="en-US" w:eastAsia="zh-CN" w:bidi="ar-SA"/>
    </w:rPr>
  </w:style>
  <w:style w:type="paragraph" w:customStyle="1" w:styleId="61">
    <w:name w:val="列表段落1"/>
    <w:basedOn w:val="1"/>
    <w:link w:val="60"/>
    <w:qFormat/>
    <w:uiPriority w:val="0"/>
    <w:pPr>
      <w:ind w:firstLine="420" w:firstLineChars="200"/>
    </w:pPr>
    <w:rPr>
      <w:rFonts w:ascii="Calibri" w:hAnsi="Calibri"/>
      <w:szCs w:val="22"/>
    </w:rPr>
  </w:style>
  <w:style w:type="character" w:customStyle="1" w:styleId="62">
    <w:name w:val="文档正文 Char"/>
    <w:link w:val="63"/>
    <w:qFormat/>
    <w:uiPriority w:val="0"/>
    <w:rPr>
      <w:rFonts w:ascii="Tahoma" w:hAnsi="Tahoma" w:eastAsia="仿宋_GB2312" w:cs="Times New Roman"/>
      <w:sz w:val="28"/>
      <w:lang w:val="en-US" w:eastAsia="zh-CN" w:bidi="ar-SA"/>
    </w:rPr>
  </w:style>
  <w:style w:type="paragraph" w:customStyle="1" w:styleId="63">
    <w:name w:val="文档正文"/>
    <w:basedOn w:val="1"/>
    <w:link w:val="62"/>
    <w:qFormat/>
    <w:uiPriority w:val="0"/>
    <w:pPr>
      <w:spacing w:line="360" w:lineRule="auto"/>
      <w:ind w:firstLine="480" w:firstLineChars="200"/>
    </w:pPr>
    <w:rPr>
      <w:rFonts w:ascii="Tahoma" w:hAnsi="Tahoma" w:eastAsia="仿宋_GB2312"/>
      <w:kern w:val="0"/>
      <w:sz w:val="28"/>
      <w:szCs w:val="20"/>
    </w:rPr>
  </w:style>
  <w:style w:type="character" w:customStyle="1" w:styleId="64">
    <w:name w:val="列表段落 字符"/>
    <w:qFormat/>
    <w:locked/>
    <w:uiPriority w:val="34"/>
  </w:style>
  <w:style w:type="character" w:customStyle="1" w:styleId="65">
    <w:name w:val="正文文本 Char2"/>
    <w:qFormat/>
    <w:uiPriority w:val="0"/>
    <w:rPr>
      <w:kern w:val="2"/>
      <w:sz w:val="21"/>
      <w:szCs w:val="24"/>
    </w:rPr>
  </w:style>
  <w:style w:type="character" w:customStyle="1" w:styleId="66">
    <w:name w:val="正文缩进 字符"/>
    <w:qFormat/>
    <w:uiPriority w:val="99"/>
    <w:rPr>
      <w:rFonts w:ascii="Times New Roman" w:hAnsi="Times New Roman" w:eastAsia="仿宋" w:cs="Times New Roman"/>
      <w:sz w:val="28"/>
    </w:rPr>
  </w:style>
  <w:style w:type="character" w:customStyle="1" w:styleId="67">
    <w:name w:val="Char Char Char"/>
    <w:qFormat/>
    <w:uiPriority w:val="0"/>
    <w:rPr>
      <w:rFonts w:ascii="宋体" w:hAnsi="Courier New" w:eastAsia="宋体" w:cs="Times New Roman"/>
      <w:sz w:val="21"/>
      <w:szCs w:val="21"/>
      <w:lang w:val="en-US" w:eastAsia="zh-CN" w:bidi="ar-SA"/>
    </w:rPr>
  </w:style>
  <w:style w:type="character" w:customStyle="1" w:styleId="68">
    <w:name w:val="unnamed51"/>
    <w:qFormat/>
    <w:uiPriority w:val="0"/>
    <w:rPr>
      <w:rFonts w:ascii="Times New Roman" w:hAnsi="Times New Roman" w:eastAsia="宋体" w:cs="Times New Roman"/>
      <w:sz w:val="22"/>
      <w:szCs w:val="22"/>
    </w:rPr>
  </w:style>
  <w:style w:type="character" w:customStyle="1" w:styleId="69">
    <w:name w:val="Texte Char Char"/>
    <w:qFormat/>
    <w:uiPriority w:val="0"/>
    <w:rPr>
      <w:rFonts w:ascii="宋体" w:hAnsi="Courier New" w:eastAsia="宋体" w:cs="Times New Roman"/>
      <w:sz w:val="21"/>
      <w:szCs w:val="21"/>
      <w:lang w:val="en-US" w:eastAsia="zh-CN" w:bidi="ar-SA"/>
    </w:rPr>
  </w:style>
  <w:style w:type="character" w:customStyle="1" w:styleId="70">
    <w:name w:val="Char Char2"/>
    <w:qFormat/>
    <w:uiPriority w:val="0"/>
    <w:rPr>
      <w:rFonts w:ascii="宋体" w:hAnsi="Courier New" w:eastAsia="宋体" w:cs="Times New Roman"/>
      <w:kern w:val="2"/>
      <w:sz w:val="21"/>
      <w:lang w:val="en-US" w:eastAsia="zh-CN"/>
    </w:rPr>
  </w:style>
  <w:style w:type="character" w:customStyle="1" w:styleId="71">
    <w:name w:val="font11"/>
    <w:qFormat/>
    <w:uiPriority w:val="0"/>
    <w:rPr>
      <w:rFonts w:hint="eastAsia" w:ascii="宋体" w:hAnsi="宋体" w:eastAsia="宋体" w:cs="宋体"/>
      <w:color w:val="000000"/>
      <w:sz w:val="20"/>
      <w:szCs w:val="20"/>
      <w:u w:val="none"/>
    </w:rPr>
  </w:style>
  <w:style w:type="character" w:customStyle="1" w:styleId="72">
    <w:name w:val="哈哈正文 Char"/>
    <w:link w:val="73"/>
    <w:qFormat/>
    <w:uiPriority w:val="0"/>
    <w:rPr>
      <w:rFonts w:ascii="宋体" w:hAnsi="宋体" w:eastAsia="宋体" w:cs="宋体"/>
      <w:kern w:val="2"/>
      <w:sz w:val="24"/>
      <w:lang w:val="en-US" w:eastAsia="zh-CN" w:bidi="ar-SA"/>
    </w:rPr>
  </w:style>
  <w:style w:type="paragraph" w:customStyle="1" w:styleId="73">
    <w:name w:val="哈哈正文"/>
    <w:basedOn w:val="1"/>
    <w:link w:val="72"/>
    <w:qFormat/>
    <w:uiPriority w:val="0"/>
    <w:pPr>
      <w:spacing w:line="360" w:lineRule="auto"/>
      <w:ind w:firstLine="200" w:firstLineChars="200"/>
    </w:pPr>
    <w:rPr>
      <w:rFonts w:ascii="宋体" w:hAnsi="宋体" w:cs="宋体"/>
      <w:sz w:val="24"/>
      <w:szCs w:val="20"/>
    </w:rPr>
  </w:style>
  <w:style w:type="paragraph" w:customStyle="1" w:styleId="74">
    <w:name w:val="彩色列表 - 强调文字颜色 11"/>
    <w:basedOn w:val="1"/>
    <w:qFormat/>
    <w:uiPriority w:val="34"/>
    <w:pPr>
      <w:ind w:firstLine="420"/>
    </w:pPr>
  </w:style>
  <w:style w:type="paragraph" w:customStyle="1" w:styleId="75">
    <w:name w:val="07-E3-标题三"/>
    <w:basedOn w:val="6"/>
    <w:qFormat/>
    <w:uiPriority w:val="0"/>
    <w:pPr>
      <w:ind w:left="720" w:hanging="720"/>
    </w:pPr>
    <w:rPr>
      <w:rFonts w:eastAsia="黑体"/>
      <w:b w:val="0"/>
      <w:sz w:val="24"/>
      <w:szCs w:val="24"/>
    </w:rPr>
  </w:style>
  <w:style w:type="paragraph" w:customStyle="1" w:styleId="76">
    <w:name w:val="列出段落1"/>
    <w:basedOn w:val="1"/>
    <w:qFormat/>
    <w:uiPriority w:val="34"/>
    <w:pPr>
      <w:ind w:firstLine="420"/>
    </w:pPr>
  </w:style>
  <w:style w:type="paragraph" w:customStyle="1" w:styleId="77">
    <w:name w:val="表格文字"/>
    <w:basedOn w:val="20"/>
    <w:next w:val="16"/>
    <w:qFormat/>
    <w:uiPriority w:val="99"/>
    <w:pPr>
      <w:spacing w:line="420" w:lineRule="atLeast"/>
    </w:pPr>
    <w:rPr>
      <w:rFonts w:ascii="Times New Roman" w:hAnsi="Times New Roman"/>
      <w:szCs w:val="24"/>
    </w:rPr>
  </w:style>
  <w:style w:type="paragraph" w:customStyle="1" w:styleId="78">
    <w:name w:val="[Normal]"/>
    <w:qFormat/>
    <w:uiPriority w:val="0"/>
    <w:rPr>
      <w:rFonts w:ascii="宋体" w:hAnsi="宋体" w:eastAsia="宋体" w:cs="Times New Roman"/>
      <w:sz w:val="24"/>
      <w:szCs w:val="22"/>
      <w:lang w:val="zh-CN" w:eastAsia="zh-CN" w:bidi="ar-SA"/>
    </w:rPr>
  </w:style>
  <w:style w:type="paragraph" w:customStyle="1" w:styleId="79">
    <w:name w:val="Char1"/>
    <w:basedOn w:val="1"/>
    <w:qFormat/>
    <w:uiPriority w:val="0"/>
    <w:pPr>
      <w:widowControl/>
      <w:adjustRightInd w:val="0"/>
      <w:snapToGrid w:val="0"/>
      <w:spacing w:before="78" w:beforeLines="25" w:after="78" w:afterLines="25" w:line="240" w:lineRule="exact"/>
      <w:ind w:firstLine="403" w:firstLineChars="192"/>
      <w:jc w:val="center"/>
    </w:pPr>
    <w:rPr>
      <w:rFonts w:ascii="宋体" w:hAnsi="宋体"/>
      <w:kern w:val="0"/>
      <w:szCs w:val="21"/>
    </w:rPr>
  </w:style>
  <w:style w:type="paragraph" w:customStyle="1" w:styleId="80">
    <w:name w:val="正文标准样式ty"/>
    <w:basedOn w:val="1"/>
    <w:qFormat/>
    <w:uiPriority w:val="0"/>
    <w:pPr>
      <w:ind w:firstLine="480"/>
    </w:pPr>
    <w:rPr>
      <w:rFonts w:cs="宋体"/>
      <w:szCs w:val="20"/>
    </w:rPr>
  </w:style>
  <w:style w:type="paragraph" w:customStyle="1" w:styleId="81">
    <w:name w:val="Char Char Char Char"/>
    <w:basedOn w:val="14"/>
    <w:qFormat/>
    <w:uiPriority w:val="0"/>
    <w:rPr>
      <w:rFonts w:ascii="Tahoma" w:hAnsi="Tahoma"/>
      <w:sz w:val="24"/>
    </w:rPr>
  </w:style>
  <w:style w:type="paragraph" w:customStyle="1" w:styleId="82">
    <w:name w:val="Char Char"/>
    <w:basedOn w:val="1"/>
    <w:qFormat/>
    <w:uiPriority w:val="0"/>
    <w:rPr>
      <w:rFonts w:ascii="仿宋_GB2312" w:eastAsia="仿宋_GB2312"/>
      <w:b/>
      <w:sz w:val="32"/>
      <w:szCs w:val="32"/>
    </w:rPr>
  </w:style>
  <w:style w:type="paragraph" w:customStyle="1" w:styleId="83">
    <w:name w:val="Table Paragraph"/>
    <w:basedOn w:val="1"/>
    <w:qFormat/>
    <w:uiPriority w:val="1"/>
    <w:rPr>
      <w:rFonts w:ascii="宋体" w:hAnsi="宋体" w:cs="宋体"/>
      <w:lang w:val="zh-CN" w:bidi="zh-CN"/>
    </w:rPr>
  </w:style>
  <w:style w:type="paragraph" w:customStyle="1" w:styleId="84">
    <w:name w:val="Revision"/>
    <w:qFormat/>
    <w:uiPriority w:val="0"/>
    <w:rPr>
      <w:rFonts w:ascii="Times New Roman" w:hAnsi="Times New Roman" w:eastAsia="宋体" w:cs="Times New Roman"/>
      <w:kern w:val="2"/>
      <w:sz w:val="21"/>
      <w:szCs w:val="24"/>
      <w:lang w:val="en-US" w:eastAsia="zh-CN" w:bidi="ar-SA"/>
    </w:rPr>
  </w:style>
  <w:style w:type="paragraph" w:customStyle="1" w:styleId="85">
    <w:name w:val="样式 正文首行缩进 2 + 首行缩进:  2 字符"/>
    <w:basedOn w:val="1"/>
    <w:qFormat/>
    <w:uiPriority w:val="0"/>
    <w:pPr>
      <w:widowControl/>
      <w:ind w:firstLine="480"/>
      <w:jc w:val="left"/>
    </w:pPr>
    <w:rPr>
      <w:rFonts w:ascii="Calibri" w:hAnsi="Calibri"/>
      <w:sz w:val="24"/>
      <w:szCs w:val="21"/>
    </w:rPr>
  </w:style>
  <w:style w:type="paragraph" w:customStyle="1" w:styleId="86">
    <w:name w:val="样式 Arial 小四 首行缩进:  0.85 厘米"/>
    <w:basedOn w:val="1"/>
    <w:qFormat/>
    <w:uiPriority w:val="0"/>
    <w:pPr>
      <w:spacing w:line="360" w:lineRule="auto"/>
      <w:ind w:firstLine="482"/>
    </w:pPr>
    <w:rPr>
      <w:rFonts w:ascii="Arial" w:hAnsi="Arial" w:cs="宋体"/>
      <w:sz w:val="24"/>
      <w:szCs w:val="20"/>
    </w:rPr>
  </w:style>
  <w:style w:type="paragraph" w:customStyle="1" w:styleId="87">
    <w:name w:val="标准文本"/>
    <w:basedOn w:val="1"/>
    <w:qFormat/>
    <w:uiPriority w:val="0"/>
    <w:pPr>
      <w:ind w:firstLine="480"/>
    </w:pPr>
    <w:rPr>
      <w:rFonts w:ascii="Calibri" w:hAnsi="Calibri" w:cs="宋体"/>
      <w:kern w:val="0"/>
    </w:rPr>
  </w:style>
  <w:style w:type="paragraph" w:customStyle="1" w:styleId="88">
    <w:name w:val="Char Char Char Char Char Char Char Char Char Char Char Char Char1"/>
    <w:basedOn w:val="1"/>
    <w:qFormat/>
    <w:uiPriority w:val="0"/>
    <w:rPr>
      <w:rFonts w:ascii="Tahoma" w:hAnsi="Tahoma"/>
      <w:sz w:val="24"/>
      <w:szCs w:val="20"/>
    </w:rPr>
  </w:style>
  <w:style w:type="paragraph" w:customStyle="1" w:styleId="89">
    <w:name w:val="样式 首行缩进:  2 字符5"/>
    <w:basedOn w:val="1"/>
    <w:qFormat/>
    <w:uiPriority w:val="0"/>
    <w:pPr>
      <w:ind w:firstLine="480"/>
    </w:pPr>
    <w:rPr>
      <w:rFonts w:cs="宋体"/>
      <w:szCs w:val="20"/>
    </w:rPr>
  </w:style>
  <w:style w:type="paragraph" w:customStyle="1" w:styleId="90">
    <w:name w:val="p0"/>
    <w:basedOn w:val="1"/>
    <w:qFormat/>
    <w:uiPriority w:val="0"/>
    <w:pPr>
      <w:widowControl/>
    </w:pPr>
    <w:rPr>
      <w:rFonts w:cs="宋体"/>
      <w:kern w:val="0"/>
      <w:szCs w:val="21"/>
    </w:rPr>
  </w:style>
  <w:style w:type="paragraph" w:customStyle="1" w:styleId="91">
    <w:name w:val="Char Char Char Char Char Char Char Char Char Char Char Char Char"/>
    <w:basedOn w:val="1"/>
    <w:qFormat/>
    <w:uiPriority w:val="0"/>
    <w:rPr>
      <w:rFonts w:ascii="Tahoma" w:hAnsi="Tahoma"/>
      <w:sz w:val="24"/>
      <w:szCs w:val="20"/>
    </w:rPr>
  </w:style>
  <w:style w:type="paragraph" w:customStyle="1" w:styleId="92">
    <w:name w:val="xl55"/>
    <w:basedOn w:val="1"/>
    <w:qFormat/>
    <w:uiPriority w:val="0"/>
    <w:pPr>
      <w:widowControl/>
      <w:spacing w:before="100" w:beforeAutospacing="1" w:after="100" w:afterAutospacing="1"/>
      <w:jc w:val="center"/>
      <w:textAlignment w:val="center"/>
    </w:pPr>
    <w:rPr>
      <w:rFonts w:ascii="Arial Unicode MS" w:hAnsi="Arial Unicode MS"/>
      <w:kern w:val="0"/>
      <w:sz w:val="24"/>
      <w:szCs w:val="20"/>
    </w:rPr>
  </w:style>
  <w:style w:type="paragraph" w:customStyle="1" w:styleId="93">
    <w:name w:val="正文1"/>
    <w:basedOn w:val="1"/>
    <w:qFormat/>
    <w:uiPriority w:val="0"/>
    <w:pPr>
      <w:adjustRightInd w:val="0"/>
      <w:spacing w:after="60" w:line="360" w:lineRule="atLeast"/>
      <w:ind w:firstLine="567"/>
      <w:jc w:val="left"/>
      <w:textAlignment w:val="baseline"/>
    </w:pPr>
    <w:rPr>
      <w:rFonts w:ascii="宋体"/>
      <w:kern w:val="0"/>
      <w:sz w:val="28"/>
      <w:szCs w:val="20"/>
    </w:rPr>
  </w:style>
  <w:style w:type="paragraph" w:customStyle="1" w:styleId="94">
    <w:name w:val="保留正文"/>
    <w:basedOn w:val="16"/>
    <w:qFormat/>
    <w:uiPriority w:val="0"/>
    <w:pPr>
      <w:keepNext/>
      <w:spacing w:after="160"/>
    </w:pPr>
  </w:style>
  <w:style w:type="paragraph" w:customStyle="1" w:styleId="95">
    <w:name w:val="正文5"/>
    <w:qFormat/>
    <w:uiPriority w:val="0"/>
    <w:pPr>
      <w:widowControl w:val="0"/>
      <w:jc w:val="both"/>
    </w:pPr>
    <w:rPr>
      <w:rFonts w:hint="eastAsia" w:ascii="Times New Roman" w:hAnsi="Times New Roman" w:eastAsia="宋体" w:cs="Times New Roman"/>
      <w:kern w:val="2"/>
      <w:sz w:val="21"/>
      <w:lang w:val="en-US" w:eastAsia="zh-CN" w:bidi="ar-SA"/>
    </w:rPr>
  </w:style>
  <w:style w:type="paragraph" w:customStyle="1" w:styleId="96">
    <w:name w:val="Char Char7 Char"/>
    <w:basedOn w:val="1"/>
    <w:qFormat/>
    <w:uiPriority w:val="0"/>
    <w:pPr>
      <w:tabs>
        <w:tab w:val="left" w:pos="425"/>
      </w:tabs>
      <w:ind w:left="420" w:leftChars="200" w:firstLine="270" w:firstLineChars="150"/>
    </w:pPr>
  </w:style>
  <w:style w:type="paragraph" w:customStyle="1" w:styleId="97">
    <w:name w:val="正文标准样式ty Char"/>
    <w:basedOn w:val="1"/>
    <w:qFormat/>
    <w:uiPriority w:val="0"/>
    <w:pPr>
      <w:ind w:firstLine="480"/>
    </w:pPr>
    <w:rPr>
      <w:rFonts w:cs="宋体"/>
      <w:szCs w:val="20"/>
    </w:rPr>
  </w:style>
  <w:style w:type="paragraph" w:customStyle="1" w:styleId="98">
    <w:name w:val="Char Char1 Char Char Char Char Char Char"/>
    <w:basedOn w:val="1"/>
    <w:qFormat/>
    <w:uiPriority w:val="0"/>
    <w:pPr>
      <w:widowControl/>
      <w:spacing w:after="160" w:line="240" w:lineRule="exact"/>
      <w:jc w:val="left"/>
    </w:pPr>
    <w:rPr>
      <w:rFonts w:ascii="Verdana" w:hAnsi="Verdana" w:eastAsia="仿宋_GB2312"/>
      <w:kern w:val="0"/>
      <w:sz w:val="24"/>
      <w:szCs w:val="20"/>
      <w:lang w:eastAsia="en-US"/>
    </w:rPr>
  </w:style>
  <w:style w:type="paragraph" w:customStyle="1" w:styleId="99">
    <w:name w:val="fs-4"/>
    <w:basedOn w:val="1"/>
    <w:qFormat/>
    <w:uiPriority w:val="0"/>
    <w:pPr>
      <w:widowControl/>
      <w:spacing w:before="100" w:beforeAutospacing="1" w:after="100" w:afterAutospacing="1"/>
      <w:jc w:val="left"/>
    </w:pPr>
    <w:rPr>
      <w:rFonts w:ascii="宋体" w:hAnsi="宋体" w:cs="宋体"/>
      <w:kern w:val="0"/>
    </w:rPr>
  </w:style>
  <w:style w:type="paragraph" w:customStyle="1" w:styleId="100">
    <w:name w:val="style31"/>
    <w:basedOn w:val="1"/>
    <w:qFormat/>
    <w:uiPriority w:val="0"/>
    <w:pPr>
      <w:widowControl/>
      <w:spacing w:before="100" w:beforeAutospacing="1" w:after="100" w:afterAutospacing="1"/>
      <w:jc w:val="left"/>
    </w:pPr>
    <w:rPr>
      <w:rFonts w:ascii="宋体" w:hAnsi="宋体" w:cs="宋体"/>
      <w:kern w:val="0"/>
      <w:sz w:val="24"/>
    </w:rPr>
  </w:style>
  <w:style w:type="paragraph" w:customStyle="1" w:styleId="101">
    <w:name w:val="正文(首行缩进)"/>
    <w:basedOn w:val="1"/>
    <w:qFormat/>
    <w:uiPriority w:val="0"/>
    <w:pPr>
      <w:spacing w:line="360" w:lineRule="auto"/>
      <w:ind w:firstLine="200" w:firstLineChars="200"/>
    </w:pPr>
    <w:rPr>
      <w:rFonts w:ascii="Arial Narrow" w:hAnsi="Arial Narrow" w:eastAsia="楷体_GB2312"/>
      <w:sz w:val="24"/>
    </w:rPr>
  </w:style>
  <w:style w:type="paragraph" w:customStyle="1" w:styleId="102">
    <w:name w:val="Char Char Char Char Char Char Char Char Char Char Char Char Char2"/>
    <w:basedOn w:val="1"/>
    <w:qFormat/>
    <w:uiPriority w:val="0"/>
    <w:rPr>
      <w:rFonts w:ascii="Tahoma" w:hAnsi="Tahoma"/>
      <w:sz w:val="24"/>
      <w:szCs w:val="20"/>
    </w:rPr>
  </w:style>
  <w:style w:type="paragraph" w:customStyle="1" w:styleId="103">
    <w:name w:val="自动更正"/>
    <w:qFormat/>
    <w:uiPriority w:val="0"/>
    <w:pPr>
      <w:widowControl w:val="0"/>
      <w:jc w:val="both"/>
    </w:pPr>
    <w:rPr>
      <w:rFonts w:ascii="Times New Roman" w:hAnsi="Times New Roman" w:eastAsia="宋体" w:cs="Times New Roman"/>
      <w:kern w:val="2"/>
      <w:sz w:val="21"/>
      <w:szCs w:val="24"/>
      <w:lang w:val="en-US" w:eastAsia="zh-CN" w:bidi="ar-SA"/>
    </w:rPr>
  </w:style>
  <w:style w:type="paragraph" w:customStyle="1" w:styleId="104">
    <w:name w:val="投标文件 正文首行缩进"/>
    <w:basedOn w:val="33"/>
    <w:qFormat/>
    <w:uiPriority w:val="0"/>
    <w:pPr>
      <w:spacing w:after="220"/>
      <w:ind w:left="0" w:firstLine="200" w:firstLineChars="0"/>
    </w:pPr>
    <w:rPr>
      <w:rFonts w:ascii="Arial" w:hAnsi="Arial"/>
    </w:rPr>
  </w:style>
  <w:style w:type="paragraph" w:customStyle="1" w:styleId="105">
    <w:name w:val="纯文本2"/>
    <w:basedOn w:val="95"/>
    <w:qFormat/>
    <w:uiPriority w:val="0"/>
    <w:pPr>
      <w:widowControl/>
      <w:jc w:val="left"/>
    </w:pPr>
    <w:rPr>
      <w:rFonts w:ascii="宋体" w:hAnsi="Courier New"/>
    </w:rPr>
  </w:style>
  <w:style w:type="paragraph" w:customStyle="1" w:styleId="106">
    <w:name w:val="_Style 44"/>
    <w:basedOn w:val="10"/>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07">
    <w:name w:val="Char1 Char Char Char"/>
    <w:basedOn w:val="1"/>
    <w:qFormat/>
    <w:uiPriority w:val="0"/>
    <w:rPr>
      <w:rFonts w:ascii="Tahoma" w:hAnsi="Tahoma"/>
      <w:sz w:val="24"/>
      <w:szCs w:val="20"/>
    </w:rPr>
  </w:style>
  <w:style w:type="paragraph" w:customStyle="1" w:styleId="108">
    <w:name w:val="Char Char Char Char1"/>
    <w:basedOn w:val="1"/>
    <w:qFormat/>
    <w:uiPriority w:val="0"/>
    <w:rPr>
      <w:rFonts w:ascii="Tahoma" w:hAnsi="Tahoma"/>
      <w:sz w:val="24"/>
      <w:szCs w:val="20"/>
    </w:rPr>
  </w:style>
  <w:style w:type="paragraph" w:customStyle="1" w:styleId="109">
    <w:name w:val="正文2"/>
    <w:basedOn w:val="1"/>
    <w:qFormat/>
    <w:uiPriority w:val="0"/>
    <w:pPr>
      <w:spacing w:before="156" w:line="360" w:lineRule="auto"/>
      <w:ind w:firstLine="510" w:firstLineChars="200"/>
    </w:pPr>
    <w:rPr>
      <w:sz w:val="24"/>
      <w:szCs w:val="20"/>
    </w:rPr>
  </w:style>
  <w:style w:type="paragraph" w:customStyle="1" w:styleId="110">
    <w:name w:val="_Style 14"/>
    <w:basedOn w:val="16"/>
    <w:next w:val="17"/>
    <w:qFormat/>
    <w:uiPriority w:val="0"/>
    <w:pPr>
      <w:ind w:firstLine="420" w:firstLineChars="100"/>
    </w:pPr>
    <w:rPr>
      <w:rFonts w:ascii="Calibri" w:hAnsi="Calibri"/>
    </w:rPr>
  </w:style>
  <w:style w:type="paragraph" w:customStyle="1" w:styleId="111">
    <w:name w:val="Default"/>
    <w:qFormat/>
    <w:uiPriority w:val="0"/>
    <w:pPr>
      <w:widowControl w:val="0"/>
      <w:autoSpaceDE w:val="0"/>
      <w:autoSpaceDN w:val="0"/>
      <w:adjustRightInd w:val="0"/>
    </w:pPr>
    <w:rPr>
      <w:rFonts w:ascii="仿宋_GB2312" w:hAnsi="Times New Roman" w:eastAsia="宋体" w:cs="仿宋_GB2312"/>
      <w:color w:val="000000"/>
      <w:sz w:val="24"/>
      <w:szCs w:val="24"/>
      <w:lang w:val="en-US" w:eastAsia="zh-CN" w:bidi="ar-SA"/>
    </w:rPr>
  </w:style>
  <w:style w:type="paragraph" w:customStyle="1" w:styleId="112">
    <w:name w:val="xl35"/>
    <w:basedOn w:val="1"/>
    <w:qFormat/>
    <w:uiPriority w:val="0"/>
    <w:pPr>
      <w:widowControl/>
      <w:pBdr>
        <w:left w:val="single" w:color="auto" w:sz="4" w:space="0"/>
        <w:bottom w:val="single" w:color="auto" w:sz="4" w:space="0"/>
        <w:right w:val="single" w:color="auto" w:sz="4" w:space="0"/>
      </w:pBdr>
      <w:spacing w:before="100" w:beforeAutospacing="1" w:after="100" w:afterAutospacing="1"/>
      <w:textAlignment w:val="center"/>
    </w:pPr>
    <w:rPr>
      <w:rFonts w:ascii="Arial Unicode MS" w:hAnsi="Arial Unicode MS" w:eastAsia="Arial Unicode MS"/>
      <w:kern w:val="0"/>
      <w:sz w:val="24"/>
    </w:rPr>
  </w:style>
  <w:style w:type="paragraph" w:customStyle="1" w:styleId="113">
    <w:name w:val="标题2.1"/>
    <w:basedOn w:val="5"/>
    <w:next w:val="16"/>
    <w:qFormat/>
    <w:uiPriority w:val="0"/>
    <w:pPr>
      <w:widowControl/>
      <w:snapToGrid w:val="0"/>
      <w:spacing w:before="0" w:after="0" w:line="360" w:lineRule="auto"/>
    </w:pPr>
    <w:rPr>
      <w:rFonts w:ascii="宋体" w:hAnsi="宋体" w:eastAsia="宋体" w:cs="宋体"/>
      <w:bCs w:val="0"/>
      <w:szCs w:val="20"/>
    </w:rPr>
  </w:style>
  <w:style w:type="paragraph" w:customStyle="1" w:styleId="114">
    <w:name w:val="正文－恩普"/>
    <w:basedOn w:val="10"/>
    <w:qFormat/>
    <w:uiPriority w:val="0"/>
    <w:pPr>
      <w:framePr w:wrap="around" w:vAnchor="text" w:hAnchor="text" w:y="1"/>
      <w:adjustRightInd/>
      <w:spacing w:line="360" w:lineRule="auto"/>
      <w:ind w:firstLine="200" w:firstLineChars="200"/>
      <w:textAlignment w:val="auto"/>
    </w:pPr>
    <w:rPr>
      <w:kern w:val="2"/>
      <w:sz w:val="24"/>
      <w:szCs w:val="24"/>
    </w:rPr>
  </w:style>
  <w:style w:type="paragraph" w:customStyle="1" w:styleId="115">
    <w:name w:val="Char Char1 Char Char Char Char Char Char1"/>
    <w:basedOn w:val="1"/>
    <w:qFormat/>
    <w:uiPriority w:val="0"/>
    <w:pPr>
      <w:widowControl/>
      <w:spacing w:after="160" w:line="240" w:lineRule="exact"/>
      <w:jc w:val="left"/>
    </w:pPr>
    <w:rPr>
      <w:rFonts w:ascii="宋体" w:hAnsi="宋体" w:cs="宋体"/>
      <w:kern w:val="0"/>
      <w:szCs w:val="20"/>
    </w:rPr>
  </w:style>
  <w:style w:type="paragraph" w:customStyle="1" w:styleId="116">
    <w:name w:val="简单回函地址"/>
    <w:basedOn w:val="1"/>
    <w:qFormat/>
    <w:uiPriority w:val="0"/>
  </w:style>
  <w:style w:type="paragraph" w:customStyle="1" w:styleId="117">
    <w:name w:val="Char Char Char Char Char Char Char"/>
    <w:basedOn w:val="1"/>
    <w:qFormat/>
    <w:uiPriority w:val="0"/>
    <w:rPr>
      <w:rFonts w:ascii="仿宋_GB2312" w:eastAsia="仿宋_GB2312"/>
      <w:b/>
      <w:sz w:val="32"/>
      <w:szCs w:val="32"/>
    </w:rPr>
  </w:style>
  <w:style w:type="paragraph" w:customStyle="1" w:styleId="118">
    <w:name w:val="Char Char Char Char Char Char Char1"/>
    <w:basedOn w:val="1"/>
    <w:qFormat/>
    <w:uiPriority w:val="0"/>
    <w:rPr>
      <w:rFonts w:ascii="仿宋_GB2312" w:eastAsia="仿宋_GB2312"/>
      <w:b/>
      <w:sz w:val="32"/>
      <w:szCs w:val="32"/>
    </w:rPr>
  </w:style>
  <w:style w:type="paragraph" w:customStyle="1" w:styleId="119">
    <w:name w:val="表标题"/>
    <w:basedOn w:val="1"/>
    <w:qFormat/>
    <w:uiPriority w:val="0"/>
    <w:pPr>
      <w:jc w:val="center"/>
    </w:pPr>
    <w:rPr>
      <w:rFonts w:ascii="宋体" w:hAnsi="宋体"/>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2.xml"/><Relationship Id="rId5" Type="http://schemas.openxmlformats.org/officeDocument/2006/relationships/header" Target="head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Aptos"/>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43</Pages>
  <Words>4384</Words>
  <Characters>24989</Characters>
  <Lines>208</Lines>
  <Paragraphs>58</Paragraphs>
  <TotalTime>0</TotalTime>
  <ScaleCrop>false</ScaleCrop>
  <LinksUpToDate>false</LinksUpToDate>
  <CharactersWithSpaces>29315</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2024-04-12T03:28:00Z</dcterms:created>
  <dc:creator>LCMZX</dc:creator>
  <cp:lastModifiedBy>张俐敏</cp:lastModifiedBy>
  <cp:lastPrinted>2021-08-10T08:39:00Z</cp:lastPrinted>
  <dcterms:modified xsi:type="dcterms:W3CDTF">2024-04-24T08:33:25Z</dcterms:modified>
  <dc:title>温州市政府采购</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20653405A83B4A46B8A8D106D78751E1_13</vt:lpwstr>
  </property>
  <property fmtid="{D5CDD505-2E9C-101B-9397-08002B2CF9AE}" pid="4" name="commondata">
    <vt:lpwstr>eyJoZGlkIjoiZDRhNzcwYWMxNDc0YjRjN2UxZDk1NTg4ZWEwNTIzZDUifQ==</vt:lpwstr>
  </property>
</Properties>
</file>